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A6C9" w14:textId="77777777" w:rsidR="00415129" w:rsidRPr="00CF66E1" w:rsidRDefault="00415129" w:rsidP="00415129">
      <w:pPr>
        <w:jc w:val="center"/>
        <w:rPr>
          <w:rFonts w:ascii="Arial" w:hAnsi="Arial" w:cs="Arial"/>
          <w:b/>
          <w:sz w:val="20"/>
          <w:szCs w:val="20"/>
        </w:rPr>
      </w:pPr>
    </w:p>
    <w:p w14:paraId="28462691" w14:textId="77777777" w:rsidR="00415129" w:rsidRPr="00CF66E1" w:rsidRDefault="00415129" w:rsidP="00415129">
      <w:pPr>
        <w:jc w:val="center"/>
        <w:rPr>
          <w:rFonts w:ascii="Arial" w:hAnsi="Arial" w:cs="Arial"/>
          <w:b/>
          <w:sz w:val="20"/>
          <w:szCs w:val="20"/>
        </w:rPr>
      </w:pPr>
      <w:r w:rsidRPr="00CF66E1">
        <w:rPr>
          <w:rFonts w:ascii="Arial" w:hAnsi="Arial" w:cs="Arial"/>
          <w:b/>
          <w:sz w:val="20"/>
          <w:szCs w:val="20"/>
        </w:rPr>
        <w:t>TERM SHEET</w:t>
      </w:r>
    </w:p>
    <w:p w14:paraId="26424F56" w14:textId="77777777" w:rsidR="00415129" w:rsidRPr="00CF66E1" w:rsidRDefault="00415129" w:rsidP="00415129">
      <w:pPr>
        <w:jc w:val="center"/>
        <w:rPr>
          <w:rFonts w:ascii="Arial" w:hAnsi="Arial" w:cs="Arial"/>
          <w:b/>
          <w:sz w:val="20"/>
          <w:szCs w:val="20"/>
          <w:lang w:val="en-US"/>
        </w:rPr>
      </w:pPr>
      <w:r w:rsidRPr="00CF66E1">
        <w:rPr>
          <w:rFonts w:ascii="Arial" w:hAnsi="Arial" w:cs="Arial"/>
          <w:b/>
          <w:sz w:val="20"/>
          <w:szCs w:val="20"/>
        </w:rPr>
        <w:t xml:space="preserve">FOR SEED ROUND </w:t>
      </w:r>
      <w:r w:rsidRPr="00CF66E1">
        <w:rPr>
          <w:rFonts w:ascii="Arial" w:hAnsi="Arial" w:cs="Arial"/>
          <w:b/>
          <w:sz w:val="20"/>
          <w:szCs w:val="20"/>
          <w:lang w:val="en-US"/>
        </w:rPr>
        <w:t>CONVERTIBLE LOAN FINANCING</w:t>
      </w:r>
    </w:p>
    <w:p w14:paraId="58EA54BB" w14:textId="77777777" w:rsidR="00415129" w:rsidRPr="00CF66E1" w:rsidRDefault="00415129" w:rsidP="00415129">
      <w:pPr>
        <w:spacing w:after="120"/>
        <w:jc w:val="center"/>
        <w:rPr>
          <w:rFonts w:ascii="Arial" w:hAnsi="Arial" w:cs="Arial"/>
          <w:b/>
          <w:sz w:val="20"/>
          <w:szCs w:val="20"/>
        </w:rPr>
      </w:pPr>
    </w:p>
    <w:tbl>
      <w:tblPr>
        <w:tblStyle w:val="TableGrid"/>
        <w:tblW w:w="95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7041"/>
        <w:gridCol w:w="104"/>
      </w:tblGrid>
      <w:tr w:rsidR="00415129" w:rsidRPr="00CF66E1" w14:paraId="63D27A00" w14:textId="77777777" w:rsidTr="00105110">
        <w:tc>
          <w:tcPr>
            <w:tcW w:w="2410" w:type="dxa"/>
          </w:tcPr>
          <w:p w14:paraId="30C17682"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Company</w:t>
            </w:r>
          </w:p>
        </w:tc>
        <w:tc>
          <w:tcPr>
            <w:tcW w:w="7118" w:type="dxa"/>
            <w:gridSpan w:val="2"/>
          </w:tcPr>
          <w:p w14:paraId="08EC1446"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w:t>
            </w:r>
            <w:r w:rsidRPr="00CF66E1">
              <w:rPr>
                <w:rFonts w:ascii="Arial" w:hAnsi="Arial" w:cs="Arial"/>
                <w:i/>
                <w:sz w:val="20"/>
                <w:szCs w:val="20"/>
                <w:highlight w:val="yellow"/>
              </w:rPr>
              <w:t>name of the Company</w:t>
            </w:r>
            <w:r w:rsidRPr="00CF66E1">
              <w:rPr>
                <w:rFonts w:ascii="Arial" w:hAnsi="Arial" w:cs="Arial"/>
                <w:sz w:val="20"/>
                <w:szCs w:val="20"/>
              </w:rPr>
              <w:t>], registry code [</w:t>
            </w:r>
            <w:r w:rsidRPr="00CF66E1">
              <w:rPr>
                <w:rFonts w:ascii="Arial" w:hAnsi="Arial" w:cs="Arial"/>
                <w:sz w:val="20"/>
                <w:szCs w:val="20"/>
                <w:highlight w:val="yellow"/>
              </w:rPr>
              <w:t>*</w:t>
            </w:r>
            <w:r w:rsidRPr="00CF66E1">
              <w:rPr>
                <w:rFonts w:ascii="Arial" w:hAnsi="Arial" w:cs="Arial"/>
                <w:sz w:val="20"/>
                <w:szCs w:val="20"/>
              </w:rPr>
              <w:t>], address [</w:t>
            </w:r>
            <w:r w:rsidRPr="00CF66E1">
              <w:rPr>
                <w:rFonts w:ascii="Arial" w:hAnsi="Arial" w:cs="Arial"/>
                <w:sz w:val="20"/>
                <w:szCs w:val="20"/>
                <w:highlight w:val="yellow"/>
              </w:rPr>
              <w:t>*</w:t>
            </w:r>
            <w:r w:rsidRPr="00CF66E1">
              <w:rPr>
                <w:rFonts w:ascii="Arial" w:hAnsi="Arial" w:cs="Arial"/>
                <w:sz w:val="20"/>
                <w:szCs w:val="20"/>
              </w:rPr>
              <w:t>], e-mail address [</w:t>
            </w:r>
            <w:r w:rsidRPr="00CF66E1">
              <w:rPr>
                <w:rFonts w:ascii="Arial" w:hAnsi="Arial" w:cs="Arial"/>
                <w:sz w:val="20"/>
                <w:szCs w:val="20"/>
                <w:highlight w:val="yellow"/>
              </w:rPr>
              <w:t>*</w:t>
            </w:r>
            <w:r w:rsidRPr="00CF66E1">
              <w:rPr>
                <w:rFonts w:ascii="Arial" w:hAnsi="Arial" w:cs="Arial"/>
                <w:sz w:val="20"/>
                <w:szCs w:val="20"/>
              </w:rPr>
              <w:t>].</w:t>
            </w:r>
          </w:p>
        </w:tc>
      </w:tr>
      <w:tr w:rsidR="00415129" w:rsidRPr="00CF66E1" w14:paraId="501C11EB" w14:textId="77777777" w:rsidTr="00105110">
        <w:tc>
          <w:tcPr>
            <w:tcW w:w="2410" w:type="dxa"/>
          </w:tcPr>
          <w:p w14:paraId="1C9F3129"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Founders</w:t>
            </w:r>
          </w:p>
        </w:tc>
        <w:tc>
          <w:tcPr>
            <w:tcW w:w="7118" w:type="dxa"/>
            <w:gridSpan w:val="2"/>
          </w:tcPr>
          <w:p w14:paraId="222DBF99"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w:t>
            </w:r>
            <w:r w:rsidRPr="00CF66E1">
              <w:rPr>
                <w:rFonts w:ascii="Arial" w:hAnsi="Arial" w:cs="Arial"/>
                <w:i/>
                <w:sz w:val="20"/>
                <w:szCs w:val="20"/>
                <w:highlight w:val="yellow"/>
              </w:rPr>
              <w:t>full name of Founder 1</w:t>
            </w:r>
            <w:r w:rsidRPr="00CF66E1">
              <w:rPr>
                <w:rFonts w:ascii="Arial" w:hAnsi="Arial" w:cs="Arial"/>
                <w:sz w:val="20"/>
                <w:szCs w:val="20"/>
              </w:rPr>
              <w:t>]; [</w:t>
            </w:r>
            <w:r w:rsidRPr="00CF66E1">
              <w:rPr>
                <w:rFonts w:ascii="Arial" w:hAnsi="Arial" w:cs="Arial"/>
                <w:i/>
                <w:sz w:val="20"/>
                <w:szCs w:val="20"/>
                <w:highlight w:val="yellow"/>
              </w:rPr>
              <w:t>full name of Founder 2</w:t>
            </w:r>
            <w:r w:rsidRPr="00CF66E1">
              <w:rPr>
                <w:rFonts w:ascii="Arial" w:hAnsi="Arial" w:cs="Arial"/>
                <w:sz w:val="20"/>
                <w:szCs w:val="20"/>
              </w:rPr>
              <w:t>]; [</w:t>
            </w:r>
            <w:r w:rsidRPr="00CF66E1">
              <w:rPr>
                <w:rFonts w:ascii="Arial" w:hAnsi="Arial" w:cs="Arial"/>
                <w:i/>
                <w:sz w:val="20"/>
                <w:szCs w:val="20"/>
                <w:highlight w:val="yellow"/>
              </w:rPr>
              <w:t>full name of Founder 3</w:t>
            </w:r>
            <w:r w:rsidRPr="00CF66E1">
              <w:rPr>
                <w:rFonts w:ascii="Arial" w:hAnsi="Arial" w:cs="Arial"/>
                <w:sz w:val="20"/>
                <w:szCs w:val="20"/>
              </w:rPr>
              <w:t>].</w:t>
            </w:r>
          </w:p>
        </w:tc>
      </w:tr>
      <w:tr w:rsidR="00415129" w:rsidRPr="00CF66E1" w14:paraId="7D61F473" w14:textId="77777777" w:rsidTr="00105110">
        <w:tc>
          <w:tcPr>
            <w:tcW w:w="2410" w:type="dxa"/>
          </w:tcPr>
          <w:p w14:paraId="5FE84D32"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Investors</w:t>
            </w:r>
          </w:p>
        </w:tc>
        <w:tc>
          <w:tcPr>
            <w:tcW w:w="7118" w:type="dxa"/>
            <w:gridSpan w:val="2"/>
          </w:tcPr>
          <w:p w14:paraId="6DE6556C" w14:textId="77777777" w:rsidR="00415129" w:rsidRPr="00CF66E1" w:rsidRDefault="00415129" w:rsidP="00105110">
            <w:pPr>
              <w:tabs>
                <w:tab w:val="right" w:pos="7186"/>
              </w:tabs>
              <w:spacing w:after="120"/>
              <w:rPr>
                <w:rFonts w:ascii="Arial" w:hAnsi="Arial" w:cs="Arial"/>
                <w:sz w:val="20"/>
                <w:szCs w:val="20"/>
              </w:rPr>
            </w:pPr>
            <w:r w:rsidRPr="00CF66E1">
              <w:rPr>
                <w:rFonts w:ascii="Arial" w:hAnsi="Arial" w:cs="Arial"/>
                <w:sz w:val="20"/>
                <w:szCs w:val="20"/>
              </w:rPr>
              <w:t>[</w:t>
            </w:r>
            <w:r w:rsidRPr="00CF66E1">
              <w:rPr>
                <w:rFonts w:ascii="Arial" w:hAnsi="Arial" w:cs="Arial"/>
                <w:i/>
                <w:sz w:val="20"/>
                <w:szCs w:val="20"/>
                <w:highlight w:val="yellow"/>
              </w:rPr>
              <w:t>name of Investor 1</w:t>
            </w:r>
            <w:r w:rsidRPr="00CF66E1">
              <w:rPr>
                <w:rFonts w:ascii="Arial" w:hAnsi="Arial" w:cs="Arial"/>
                <w:sz w:val="20"/>
                <w:szCs w:val="20"/>
              </w:rPr>
              <w:t>], registry code [</w:t>
            </w:r>
            <w:r w:rsidRPr="00CF66E1">
              <w:rPr>
                <w:rFonts w:ascii="Arial" w:hAnsi="Arial" w:cs="Arial"/>
                <w:sz w:val="20"/>
                <w:szCs w:val="20"/>
                <w:highlight w:val="yellow"/>
              </w:rPr>
              <w:t>*</w:t>
            </w:r>
            <w:r w:rsidRPr="00CF66E1">
              <w:rPr>
                <w:rFonts w:ascii="Arial" w:hAnsi="Arial" w:cs="Arial"/>
                <w:sz w:val="20"/>
                <w:szCs w:val="20"/>
              </w:rPr>
              <w:t>], address [</w:t>
            </w:r>
            <w:r w:rsidRPr="00CF66E1">
              <w:rPr>
                <w:rFonts w:ascii="Arial" w:hAnsi="Arial" w:cs="Arial"/>
                <w:sz w:val="20"/>
                <w:szCs w:val="20"/>
                <w:highlight w:val="yellow"/>
              </w:rPr>
              <w:t>*</w:t>
            </w:r>
            <w:r w:rsidRPr="00CF66E1">
              <w:rPr>
                <w:rFonts w:ascii="Arial" w:hAnsi="Arial" w:cs="Arial"/>
                <w:sz w:val="20"/>
                <w:szCs w:val="20"/>
              </w:rPr>
              <w:t>], e-mail address [</w:t>
            </w:r>
            <w:r w:rsidRPr="00CF66E1">
              <w:rPr>
                <w:rFonts w:ascii="Arial" w:hAnsi="Arial" w:cs="Arial"/>
                <w:sz w:val="20"/>
                <w:szCs w:val="20"/>
                <w:highlight w:val="yellow"/>
              </w:rPr>
              <w:t>*</w:t>
            </w:r>
            <w:proofErr w:type="gramStart"/>
            <w:r w:rsidRPr="00CF66E1">
              <w:rPr>
                <w:rFonts w:ascii="Arial" w:hAnsi="Arial" w:cs="Arial"/>
                <w:sz w:val="20"/>
                <w:szCs w:val="20"/>
              </w:rPr>
              <w:t>];</w:t>
            </w:r>
            <w:proofErr w:type="gramEnd"/>
            <w:r w:rsidRPr="00CF66E1">
              <w:rPr>
                <w:rFonts w:ascii="Arial" w:hAnsi="Arial" w:cs="Arial"/>
                <w:sz w:val="20"/>
                <w:szCs w:val="20"/>
              </w:rPr>
              <w:t xml:space="preserve"> </w:t>
            </w:r>
          </w:p>
          <w:p w14:paraId="3867FD68" w14:textId="77777777" w:rsidR="00415129" w:rsidRPr="00CF66E1" w:rsidRDefault="00415129" w:rsidP="00105110">
            <w:pPr>
              <w:tabs>
                <w:tab w:val="right" w:pos="7186"/>
              </w:tabs>
              <w:spacing w:after="120"/>
              <w:rPr>
                <w:rFonts w:ascii="Arial" w:hAnsi="Arial" w:cs="Arial"/>
                <w:sz w:val="20"/>
                <w:szCs w:val="20"/>
              </w:rPr>
            </w:pPr>
            <w:r w:rsidRPr="00CF66E1">
              <w:rPr>
                <w:rFonts w:ascii="Arial" w:hAnsi="Arial" w:cs="Arial"/>
                <w:sz w:val="20"/>
                <w:szCs w:val="20"/>
              </w:rPr>
              <w:t>[</w:t>
            </w:r>
            <w:r w:rsidRPr="00CF66E1">
              <w:rPr>
                <w:rFonts w:ascii="Arial" w:hAnsi="Arial" w:cs="Arial"/>
                <w:i/>
                <w:sz w:val="20"/>
                <w:szCs w:val="20"/>
                <w:highlight w:val="yellow"/>
              </w:rPr>
              <w:t>name of Investor 2</w:t>
            </w:r>
            <w:r w:rsidRPr="00CF66E1">
              <w:rPr>
                <w:rFonts w:ascii="Arial" w:hAnsi="Arial" w:cs="Arial"/>
                <w:sz w:val="20"/>
                <w:szCs w:val="20"/>
              </w:rPr>
              <w:t>], registry code [</w:t>
            </w:r>
            <w:r w:rsidRPr="00CF66E1">
              <w:rPr>
                <w:rFonts w:ascii="Arial" w:hAnsi="Arial" w:cs="Arial"/>
                <w:sz w:val="20"/>
                <w:szCs w:val="20"/>
                <w:highlight w:val="yellow"/>
              </w:rPr>
              <w:t>*</w:t>
            </w:r>
            <w:r w:rsidRPr="00CF66E1">
              <w:rPr>
                <w:rFonts w:ascii="Arial" w:hAnsi="Arial" w:cs="Arial"/>
                <w:sz w:val="20"/>
                <w:szCs w:val="20"/>
              </w:rPr>
              <w:t>], address [</w:t>
            </w:r>
            <w:r w:rsidRPr="00CF66E1">
              <w:rPr>
                <w:rFonts w:ascii="Arial" w:hAnsi="Arial" w:cs="Arial"/>
                <w:sz w:val="20"/>
                <w:szCs w:val="20"/>
                <w:highlight w:val="yellow"/>
              </w:rPr>
              <w:t>*</w:t>
            </w:r>
            <w:r w:rsidRPr="00CF66E1">
              <w:rPr>
                <w:rFonts w:ascii="Arial" w:hAnsi="Arial" w:cs="Arial"/>
                <w:sz w:val="20"/>
                <w:szCs w:val="20"/>
              </w:rPr>
              <w:t>], e-mail address [</w:t>
            </w:r>
            <w:r w:rsidRPr="00CF66E1">
              <w:rPr>
                <w:rFonts w:ascii="Arial" w:hAnsi="Arial" w:cs="Arial"/>
                <w:sz w:val="20"/>
                <w:szCs w:val="20"/>
                <w:highlight w:val="yellow"/>
              </w:rPr>
              <w:t>*</w:t>
            </w:r>
            <w:proofErr w:type="gramStart"/>
            <w:r w:rsidRPr="00CF66E1">
              <w:rPr>
                <w:rFonts w:ascii="Arial" w:hAnsi="Arial" w:cs="Arial"/>
                <w:sz w:val="20"/>
                <w:szCs w:val="20"/>
              </w:rPr>
              <w:t>];</w:t>
            </w:r>
            <w:proofErr w:type="gramEnd"/>
            <w:r w:rsidRPr="00CF66E1">
              <w:rPr>
                <w:rFonts w:ascii="Arial" w:hAnsi="Arial" w:cs="Arial"/>
                <w:sz w:val="20"/>
                <w:szCs w:val="20"/>
              </w:rPr>
              <w:t xml:space="preserve"> </w:t>
            </w:r>
          </w:p>
          <w:p w14:paraId="08714B49" w14:textId="77777777" w:rsidR="00415129" w:rsidRPr="00CF66E1" w:rsidRDefault="00415129" w:rsidP="00105110">
            <w:pPr>
              <w:tabs>
                <w:tab w:val="right" w:pos="7186"/>
              </w:tabs>
              <w:spacing w:after="120"/>
              <w:rPr>
                <w:rFonts w:ascii="Arial" w:hAnsi="Arial" w:cs="Arial"/>
                <w:sz w:val="20"/>
                <w:szCs w:val="20"/>
              </w:rPr>
            </w:pPr>
            <w:r w:rsidRPr="00CF66E1">
              <w:rPr>
                <w:rFonts w:ascii="Arial" w:hAnsi="Arial" w:cs="Arial"/>
                <w:sz w:val="20"/>
                <w:szCs w:val="20"/>
              </w:rPr>
              <w:t>[</w:t>
            </w:r>
            <w:r w:rsidRPr="00CF66E1">
              <w:rPr>
                <w:rFonts w:ascii="Arial" w:hAnsi="Arial" w:cs="Arial"/>
                <w:i/>
                <w:sz w:val="20"/>
                <w:szCs w:val="20"/>
                <w:highlight w:val="yellow"/>
              </w:rPr>
              <w:t>name of investor 3</w:t>
            </w:r>
            <w:r w:rsidRPr="00CF66E1">
              <w:rPr>
                <w:rFonts w:ascii="Arial" w:hAnsi="Arial" w:cs="Arial"/>
                <w:sz w:val="20"/>
                <w:szCs w:val="20"/>
              </w:rPr>
              <w:t>], registry code [</w:t>
            </w:r>
            <w:r w:rsidRPr="00CF66E1">
              <w:rPr>
                <w:rFonts w:ascii="Arial" w:hAnsi="Arial" w:cs="Arial"/>
                <w:sz w:val="20"/>
                <w:szCs w:val="20"/>
                <w:highlight w:val="yellow"/>
              </w:rPr>
              <w:t>*</w:t>
            </w:r>
            <w:r w:rsidRPr="00CF66E1">
              <w:rPr>
                <w:rFonts w:ascii="Arial" w:hAnsi="Arial" w:cs="Arial"/>
                <w:sz w:val="20"/>
                <w:szCs w:val="20"/>
              </w:rPr>
              <w:t>], address [</w:t>
            </w:r>
            <w:r w:rsidRPr="00CF66E1">
              <w:rPr>
                <w:rFonts w:ascii="Arial" w:hAnsi="Arial" w:cs="Arial"/>
                <w:sz w:val="20"/>
                <w:szCs w:val="20"/>
                <w:highlight w:val="yellow"/>
              </w:rPr>
              <w:t>*</w:t>
            </w:r>
            <w:r w:rsidRPr="00CF66E1">
              <w:rPr>
                <w:rFonts w:ascii="Arial" w:hAnsi="Arial" w:cs="Arial"/>
                <w:sz w:val="20"/>
                <w:szCs w:val="20"/>
              </w:rPr>
              <w:t>], e-mail address [</w:t>
            </w:r>
            <w:r w:rsidRPr="00CF66E1">
              <w:rPr>
                <w:rFonts w:ascii="Arial" w:hAnsi="Arial" w:cs="Arial"/>
                <w:sz w:val="20"/>
                <w:szCs w:val="20"/>
                <w:highlight w:val="yellow"/>
              </w:rPr>
              <w:t>*</w:t>
            </w:r>
            <w:r w:rsidRPr="00CF66E1">
              <w:rPr>
                <w:rFonts w:ascii="Arial" w:hAnsi="Arial" w:cs="Arial"/>
                <w:sz w:val="20"/>
                <w:szCs w:val="20"/>
              </w:rPr>
              <w:t>].</w:t>
            </w:r>
            <w:r w:rsidRPr="00CF66E1">
              <w:rPr>
                <w:rFonts w:ascii="Arial" w:hAnsi="Arial" w:cs="Arial"/>
                <w:sz w:val="20"/>
                <w:szCs w:val="20"/>
              </w:rPr>
              <w:tab/>
            </w:r>
          </w:p>
        </w:tc>
      </w:tr>
      <w:tr w:rsidR="00415129" w:rsidRPr="00CF66E1" w14:paraId="21D01E82" w14:textId="77777777" w:rsidTr="00105110">
        <w:tc>
          <w:tcPr>
            <w:tcW w:w="2410" w:type="dxa"/>
          </w:tcPr>
          <w:p w14:paraId="31EBE42D"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Structure of Financing</w:t>
            </w:r>
          </w:p>
        </w:tc>
        <w:tc>
          <w:tcPr>
            <w:tcW w:w="7118" w:type="dxa"/>
            <w:gridSpan w:val="2"/>
          </w:tcPr>
          <w:p w14:paraId="419D6AB0"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The Investors shall issue a convertible loan to the Company in the aggregate amount of [</w:t>
            </w:r>
            <w:r w:rsidRPr="00CF66E1">
              <w:rPr>
                <w:rFonts w:ascii="Arial" w:hAnsi="Arial" w:cs="Arial"/>
                <w:i/>
                <w:sz w:val="20"/>
                <w:szCs w:val="20"/>
                <w:highlight w:val="yellow"/>
              </w:rPr>
              <w:t>insert amount</w:t>
            </w:r>
            <w:r w:rsidRPr="00CF66E1">
              <w:rPr>
                <w:rFonts w:ascii="Arial" w:hAnsi="Arial" w:cs="Arial"/>
                <w:sz w:val="20"/>
                <w:szCs w:val="20"/>
              </w:rPr>
              <w:t>] EUR. The amount of the investment to be made by each Investor shall be as follows:</w:t>
            </w:r>
          </w:p>
          <w:p w14:paraId="4F12C1B2"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Investor 1: [</w:t>
            </w:r>
            <w:r w:rsidRPr="00CF66E1">
              <w:rPr>
                <w:rFonts w:ascii="Arial" w:hAnsi="Arial" w:cs="Arial"/>
                <w:i/>
                <w:sz w:val="20"/>
                <w:szCs w:val="20"/>
                <w:highlight w:val="yellow"/>
              </w:rPr>
              <w:t>insert amount</w:t>
            </w:r>
            <w:r w:rsidRPr="00CF66E1">
              <w:rPr>
                <w:rFonts w:ascii="Arial" w:hAnsi="Arial" w:cs="Arial"/>
                <w:sz w:val="20"/>
                <w:szCs w:val="20"/>
              </w:rPr>
              <w:t xml:space="preserve">] </w:t>
            </w:r>
            <w:proofErr w:type="gramStart"/>
            <w:r w:rsidRPr="00CF66E1">
              <w:rPr>
                <w:rFonts w:ascii="Arial" w:hAnsi="Arial" w:cs="Arial"/>
                <w:sz w:val="20"/>
                <w:szCs w:val="20"/>
              </w:rPr>
              <w:t>EUR;</w:t>
            </w:r>
            <w:proofErr w:type="gramEnd"/>
          </w:p>
          <w:p w14:paraId="1D9DA8C0"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Investor 2: [</w:t>
            </w:r>
            <w:r w:rsidRPr="00CF66E1">
              <w:rPr>
                <w:rFonts w:ascii="Arial" w:hAnsi="Arial" w:cs="Arial"/>
                <w:i/>
                <w:sz w:val="20"/>
                <w:szCs w:val="20"/>
                <w:highlight w:val="yellow"/>
              </w:rPr>
              <w:t>insert amount</w:t>
            </w:r>
            <w:r w:rsidRPr="00CF66E1">
              <w:rPr>
                <w:rFonts w:ascii="Arial" w:hAnsi="Arial" w:cs="Arial"/>
                <w:sz w:val="20"/>
                <w:szCs w:val="20"/>
              </w:rPr>
              <w:t xml:space="preserve">] </w:t>
            </w:r>
            <w:proofErr w:type="gramStart"/>
            <w:r w:rsidRPr="00CF66E1">
              <w:rPr>
                <w:rFonts w:ascii="Arial" w:hAnsi="Arial" w:cs="Arial"/>
                <w:sz w:val="20"/>
                <w:szCs w:val="20"/>
              </w:rPr>
              <w:t>EUR;</w:t>
            </w:r>
            <w:proofErr w:type="gramEnd"/>
          </w:p>
          <w:p w14:paraId="445F947B"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Investor 3: [</w:t>
            </w:r>
            <w:r w:rsidRPr="00CF66E1">
              <w:rPr>
                <w:rFonts w:ascii="Arial" w:hAnsi="Arial" w:cs="Arial"/>
                <w:i/>
                <w:sz w:val="20"/>
                <w:szCs w:val="20"/>
                <w:highlight w:val="yellow"/>
              </w:rPr>
              <w:t>insert amount</w:t>
            </w:r>
            <w:r w:rsidRPr="00CF66E1">
              <w:rPr>
                <w:rFonts w:ascii="Arial" w:hAnsi="Arial" w:cs="Arial"/>
                <w:sz w:val="20"/>
                <w:szCs w:val="20"/>
              </w:rPr>
              <w:t>] EUR.</w:t>
            </w:r>
          </w:p>
        </w:tc>
      </w:tr>
      <w:tr w:rsidR="00415129" w:rsidRPr="00CF66E1" w14:paraId="3B035AE2" w14:textId="77777777" w:rsidTr="00105110">
        <w:tc>
          <w:tcPr>
            <w:tcW w:w="2410" w:type="dxa"/>
          </w:tcPr>
          <w:p w14:paraId="482F2350"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Conditions to Close</w:t>
            </w:r>
          </w:p>
        </w:tc>
        <w:tc>
          <w:tcPr>
            <w:tcW w:w="7118" w:type="dxa"/>
            <w:gridSpan w:val="2"/>
          </w:tcPr>
          <w:p w14:paraId="536A95D8"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The financing is subject to the following: (</w:t>
            </w:r>
            <w:proofErr w:type="spellStart"/>
            <w:r w:rsidRPr="00CF66E1">
              <w:rPr>
                <w:rFonts w:ascii="Arial" w:hAnsi="Arial" w:cs="Arial"/>
                <w:sz w:val="20"/>
                <w:szCs w:val="20"/>
              </w:rPr>
              <w:t>i</w:t>
            </w:r>
            <w:proofErr w:type="spellEnd"/>
            <w:r w:rsidRPr="00CF66E1">
              <w:rPr>
                <w:rFonts w:ascii="Arial" w:hAnsi="Arial" w:cs="Arial"/>
                <w:sz w:val="20"/>
                <w:szCs w:val="20"/>
              </w:rPr>
              <w:t>) completion of a due diligence related to the Company to the satisfaction of the Investors; (ii) transfer of all relevant intellectual property to the Company; and (iii) absence of material adverse changes with respect to the Company.</w:t>
            </w:r>
          </w:p>
        </w:tc>
      </w:tr>
      <w:tr w:rsidR="00415129" w:rsidRPr="00CF66E1" w14:paraId="30634667" w14:textId="77777777" w:rsidTr="00105110">
        <w:tc>
          <w:tcPr>
            <w:tcW w:w="2410" w:type="dxa"/>
          </w:tcPr>
          <w:p w14:paraId="0AC25AA9"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Estimated Closing Date</w:t>
            </w:r>
          </w:p>
        </w:tc>
        <w:tc>
          <w:tcPr>
            <w:tcW w:w="7118" w:type="dxa"/>
            <w:gridSpan w:val="2"/>
          </w:tcPr>
          <w:p w14:paraId="5D1CAE9B"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w:t>
            </w:r>
            <w:r w:rsidRPr="00CF66E1">
              <w:rPr>
                <w:rFonts w:ascii="Arial" w:hAnsi="Arial" w:cs="Arial"/>
                <w:i/>
                <w:sz w:val="20"/>
                <w:szCs w:val="20"/>
                <w:highlight w:val="yellow"/>
              </w:rPr>
              <w:t>insert date</w:t>
            </w:r>
            <w:r w:rsidRPr="00CF66E1">
              <w:rPr>
                <w:rFonts w:ascii="Arial" w:hAnsi="Arial" w:cs="Arial"/>
                <w:sz w:val="20"/>
                <w:szCs w:val="20"/>
              </w:rPr>
              <w:t>].</w:t>
            </w:r>
          </w:p>
        </w:tc>
      </w:tr>
      <w:tr w:rsidR="00415129" w:rsidRPr="00CF66E1" w14:paraId="1A75B448" w14:textId="77777777" w:rsidTr="00105110">
        <w:trPr>
          <w:trHeight w:val="305"/>
        </w:trPr>
        <w:tc>
          <w:tcPr>
            <w:tcW w:w="2410" w:type="dxa"/>
          </w:tcPr>
          <w:p w14:paraId="6B90ABF1"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Type of Investment</w:t>
            </w:r>
          </w:p>
        </w:tc>
        <w:tc>
          <w:tcPr>
            <w:tcW w:w="7118" w:type="dxa"/>
            <w:gridSpan w:val="2"/>
          </w:tcPr>
          <w:p w14:paraId="2821242E"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lang w:val="en-US"/>
              </w:rPr>
              <w:t>Convertible loan to the Company (“</w:t>
            </w:r>
            <w:r w:rsidRPr="00CF66E1">
              <w:rPr>
                <w:rFonts w:ascii="Arial" w:hAnsi="Arial" w:cs="Arial"/>
                <w:b/>
                <w:sz w:val="20"/>
                <w:szCs w:val="20"/>
                <w:lang w:val="en-US"/>
              </w:rPr>
              <w:t>Loan</w:t>
            </w:r>
            <w:r w:rsidRPr="00CF66E1">
              <w:rPr>
                <w:rFonts w:ascii="Arial" w:hAnsi="Arial" w:cs="Arial"/>
                <w:sz w:val="20"/>
                <w:szCs w:val="20"/>
                <w:lang w:val="en-US"/>
              </w:rPr>
              <w:t xml:space="preserve">”). </w:t>
            </w:r>
          </w:p>
        </w:tc>
      </w:tr>
      <w:tr w:rsidR="00415129" w:rsidRPr="00CF66E1" w14:paraId="7C880DBC" w14:textId="77777777" w:rsidTr="00105110">
        <w:trPr>
          <w:trHeight w:val="523"/>
        </w:trPr>
        <w:tc>
          <w:tcPr>
            <w:tcW w:w="2410" w:type="dxa"/>
          </w:tcPr>
          <w:p w14:paraId="3091F125"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Interest</w:t>
            </w:r>
          </w:p>
          <w:p w14:paraId="69DCDAC0" w14:textId="77777777" w:rsidR="00415129" w:rsidRPr="00CF66E1" w:rsidRDefault="00415129" w:rsidP="00105110">
            <w:pPr>
              <w:spacing w:after="120"/>
              <w:jc w:val="left"/>
              <w:rPr>
                <w:rFonts w:ascii="Arial" w:hAnsi="Arial" w:cs="Arial"/>
                <w:b/>
                <w:sz w:val="20"/>
                <w:szCs w:val="20"/>
              </w:rPr>
            </w:pPr>
          </w:p>
        </w:tc>
        <w:tc>
          <w:tcPr>
            <w:tcW w:w="7118" w:type="dxa"/>
            <w:gridSpan w:val="2"/>
          </w:tcPr>
          <w:p w14:paraId="58C0EE6F" w14:textId="77777777" w:rsidR="00415129" w:rsidRPr="00CF66E1" w:rsidRDefault="00415129" w:rsidP="00105110">
            <w:pPr>
              <w:spacing w:after="120"/>
              <w:rPr>
                <w:rFonts w:ascii="Arial" w:hAnsi="Arial" w:cs="Arial"/>
                <w:sz w:val="20"/>
                <w:szCs w:val="20"/>
                <w:lang w:val="en-US"/>
              </w:rPr>
            </w:pPr>
            <w:r w:rsidRPr="00CF66E1">
              <w:rPr>
                <w:rFonts w:ascii="Arial" w:hAnsi="Arial" w:cs="Arial"/>
                <w:sz w:val="20"/>
                <w:szCs w:val="20"/>
                <w:lang w:val="en-US"/>
              </w:rPr>
              <w:t xml:space="preserve">Interest shall accrue at the rate of </w:t>
            </w:r>
            <w:r w:rsidRPr="00CF66E1">
              <w:rPr>
                <w:rFonts w:ascii="Arial" w:hAnsi="Arial" w:cs="Arial"/>
                <w:sz w:val="20"/>
                <w:szCs w:val="20"/>
              </w:rPr>
              <w:t>[</w:t>
            </w:r>
            <w:r w:rsidRPr="00CF66E1">
              <w:rPr>
                <w:rFonts w:ascii="Arial" w:hAnsi="Arial" w:cs="Arial"/>
                <w:i/>
                <w:sz w:val="20"/>
                <w:szCs w:val="20"/>
                <w:highlight w:val="yellow"/>
              </w:rPr>
              <w:t>insert amount</w:t>
            </w:r>
            <w:r w:rsidRPr="00CF66E1">
              <w:rPr>
                <w:rFonts w:ascii="Arial" w:hAnsi="Arial" w:cs="Arial"/>
                <w:sz w:val="20"/>
                <w:szCs w:val="20"/>
              </w:rPr>
              <w:t>]</w:t>
            </w:r>
            <w:r w:rsidRPr="00CF66E1">
              <w:rPr>
                <w:rFonts w:ascii="Arial" w:hAnsi="Arial" w:cs="Arial"/>
                <w:sz w:val="20"/>
                <w:szCs w:val="20"/>
                <w:lang w:val="en-US"/>
              </w:rPr>
              <w:t xml:space="preserve"> % per year and is not payable until converted or until the principal amount of the Loan is repaid, as set forth below.</w:t>
            </w:r>
          </w:p>
        </w:tc>
      </w:tr>
      <w:tr w:rsidR="00415129" w:rsidRPr="00CF66E1" w14:paraId="59388B9A" w14:textId="77777777" w:rsidTr="00105110">
        <w:tc>
          <w:tcPr>
            <w:tcW w:w="2410" w:type="dxa"/>
          </w:tcPr>
          <w:p w14:paraId="0A83D757" w14:textId="77777777" w:rsidR="00415129" w:rsidRPr="00CF66E1" w:rsidRDefault="00415129" w:rsidP="00105110">
            <w:pPr>
              <w:spacing w:after="120"/>
              <w:jc w:val="left"/>
              <w:rPr>
                <w:rFonts w:ascii="Arial" w:hAnsi="Arial" w:cs="Arial"/>
                <w:b/>
                <w:sz w:val="20"/>
                <w:szCs w:val="20"/>
                <w:lang w:val="et-EE"/>
              </w:rPr>
            </w:pPr>
            <w:r w:rsidRPr="00CF66E1">
              <w:rPr>
                <w:rFonts w:ascii="Arial" w:hAnsi="Arial" w:cs="Arial"/>
                <w:b/>
                <w:sz w:val="20"/>
                <w:szCs w:val="20"/>
                <w:lang w:val="en-US"/>
              </w:rPr>
              <w:t>Repayment</w:t>
            </w:r>
          </w:p>
          <w:p w14:paraId="7EE8E9C3" w14:textId="77777777" w:rsidR="00415129" w:rsidRPr="00CF66E1" w:rsidRDefault="00415129" w:rsidP="00105110">
            <w:pPr>
              <w:spacing w:after="120"/>
              <w:jc w:val="left"/>
              <w:rPr>
                <w:rFonts w:ascii="Arial" w:hAnsi="Arial" w:cs="Arial"/>
                <w:b/>
                <w:sz w:val="20"/>
                <w:szCs w:val="20"/>
              </w:rPr>
            </w:pPr>
          </w:p>
        </w:tc>
        <w:tc>
          <w:tcPr>
            <w:tcW w:w="7118" w:type="dxa"/>
            <w:gridSpan w:val="2"/>
          </w:tcPr>
          <w:p w14:paraId="485CD0C8" w14:textId="77777777" w:rsidR="00415129" w:rsidRPr="00CF66E1" w:rsidRDefault="00415129" w:rsidP="00105110">
            <w:pPr>
              <w:spacing w:after="120"/>
              <w:rPr>
                <w:rFonts w:ascii="Arial" w:hAnsi="Arial" w:cs="Arial"/>
                <w:sz w:val="20"/>
                <w:szCs w:val="20"/>
                <w:lang w:val="en-US"/>
              </w:rPr>
            </w:pPr>
            <w:r w:rsidRPr="00CF66E1">
              <w:rPr>
                <w:rFonts w:ascii="Arial" w:hAnsi="Arial" w:cs="Arial"/>
                <w:sz w:val="20"/>
                <w:szCs w:val="20"/>
                <w:lang w:val="en-US"/>
              </w:rPr>
              <w:t>Unless previously converted as set forth below, the principal amount of the Loan and accrued interest (“</w:t>
            </w:r>
            <w:r w:rsidRPr="00CF66E1">
              <w:rPr>
                <w:rFonts w:ascii="Arial" w:hAnsi="Arial" w:cs="Arial"/>
                <w:b/>
                <w:sz w:val="20"/>
                <w:szCs w:val="20"/>
                <w:lang w:val="en-US"/>
              </w:rPr>
              <w:t>Outstanding Debt</w:t>
            </w:r>
            <w:r w:rsidRPr="00CF66E1">
              <w:rPr>
                <w:rFonts w:ascii="Arial" w:hAnsi="Arial" w:cs="Arial"/>
                <w:sz w:val="20"/>
                <w:szCs w:val="20"/>
                <w:lang w:val="en-US"/>
              </w:rPr>
              <w:t>”) become payable on demand by Requisite Investors at any time on or after [</w:t>
            </w:r>
            <w:r w:rsidR="00D25F8E" w:rsidRPr="00CF66E1">
              <w:rPr>
                <w:rFonts w:ascii="Arial" w:hAnsi="Arial" w:cs="Arial"/>
                <w:i/>
                <w:sz w:val="20"/>
                <w:szCs w:val="20"/>
                <w:highlight w:val="yellow"/>
                <w:lang w:val="en-US"/>
              </w:rPr>
              <w:fldChar w:fldCharType="begin">
                <w:ffData>
                  <w:name w:val=""/>
                  <w:enabled/>
                  <w:calcOnExit w:val="0"/>
                  <w:textInput>
                    <w:default w:val="insert date"/>
                  </w:textInput>
                </w:ffData>
              </w:fldChar>
            </w:r>
            <w:r w:rsidRPr="00CF66E1">
              <w:rPr>
                <w:rFonts w:ascii="Arial" w:hAnsi="Arial" w:cs="Arial"/>
                <w:i/>
                <w:sz w:val="20"/>
                <w:szCs w:val="20"/>
                <w:highlight w:val="yellow"/>
                <w:lang w:val="en-US"/>
              </w:rPr>
              <w:instrText xml:space="preserve"> FORMTEXT </w:instrText>
            </w:r>
            <w:r w:rsidR="00D25F8E" w:rsidRPr="00CF66E1">
              <w:rPr>
                <w:rFonts w:ascii="Arial" w:hAnsi="Arial" w:cs="Arial"/>
                <w:i/>
                <w:sz w:val="20"/>
                <w:szCs w:val="20"/>
                <w:highlight w:val="yellow"/>
                <w:lang w:val="en-US"/>
              </w:rPr>
            </w:r>
            <w:r w:rsidR="00D25F8E" w:rsidRPr="00CF66E1">
              <w:rPr>
                <w:rFonts w:ascii="Arial" w:hAnsi="Arial" w:cs="Arial"/>
                <w:i/>
                <w:sz w:val="20"/>
                <w:szCs w:val="20"/>
                <w:highlight w:val="yellow"/>
                <w:lang w:val="en-US"/>
              </w:rPr>
              <w:fldChar w:fldCharType="separate"/>
            </w:r>
            <w:r w:rsidRPr="00CF66E1">
              <w:rPr>
                <w:rFonts w:ascii="Arial" w:hAnsi="Arial" w:cs="Arial"/>
                <w:i/>
                <w:sz w:val="20"/>
                <w:szCs w:val="20"/>
                <w:highlight w:val="yellow"/>
                <w:lang w:val="en-US"/>
              </w:rPr>
              <w:t>insert date</w:t>
            </w:r>
            <w:r w:rsidR="00D25F8E" w:rsidRPr="00CF66E1">
              <w:rPr>
                <w:rFonts w:ascii="Arial" w:hAnsi="Arial" w:cs="Arial"/>
                <w:i/>
                <w:sz w:val="20"/>
                <w:szCs w:val="20"/>
                <w:highlight w:val="yellow"/>
              </w:rPr>
              <w:fldChar w:fldCharType="end"/>
            </w:r>
            <w:r w:rsidRPr="00CF66E1">
              <w:rPr>
                <w:rFonts w:ascii="Arial" w:hAnsi="Arial" w:cs="Arial"/>
                <w:sz w:val="20"/>
                <w:szCs w:val="20"/>
              </w:rPr>
              <w:t>]</w:t>
            </w:r>
            <w:r w:rsidRPr="00CF66E1">
              <w:rPr>
                <w:rFonts w:ascii="Arial" w:hAnsi="Arial" w:cs="Arial"/>
                <w:sz w:val="20"/>
                <w:szCs w:val="20"/>
                <w:lang w:val="en-US"/>
              </w:rPr>
              <w:t xml:space="preserve"> (“</w:t>
            </w:r>
            <w:r w:rsidRPr="00CF66E1">
              <w:rPr>
                <w:rFonts w:ascii="Arial" w:hAnsi="Arial" w:cs="Arial"/>
                <w:b/>
                <w:sz w:val="20"/>
                <w:szCs w:val="20"/>
                <w:lang w:val="en-US"/>
              </w:rPr>
              <w:t>Conversion Date</w:t>
            </w:r>
            <w:r w:rsidRPr="00CF66E1">
              <w:rPr>
                <w:rFonts w:ascii="Arial" w:hAnsi="Arial" w:cs="Arial"/>
                <w:sz w:val="20"/>
                <w:szCs w:val="20"/>
                <w:lang w:val="en-US"/>
              </w:rPr>
              <w:t xml:space="preserve">”). </w:t>
            </w:r>
          </w:p>
          <w:p w14:paraId="2BC254B6" w14:textId="77777777" w:rsidR="00415129" w:rsidRPr="00CF66E1" w:rsidRDefault="00415129" w:rsidP="00105110">
            <w:pPr>
              <w:spacing w:after="120"/>
              <w:rPr>
                <w:rFonts w:ascii="Arial" w:hAnsi="Arial" w:cs="Arial"/>
                <w:sz w:val="20"/>
                <w:szCs w:val="20"/>
                <w:lang w:val="et-EE"/>
              </w:rPr>
            </w:pPr>
            <w:r w:rsidRPr="00CF66E1">
              <w:rPr>
                <w:rFonts w:ascii="Arial" w:hAnsi="Arial" w:cs="Arial"/>
                <w:bCs/>
                <w:sz w:val="20"/>
                <w:szCs w:val="20"/>
                <w:lang w:val="en-US"/>
              </w:rPr>
              <w:t>“</w:t>
            </w:r>
            <w:r w:rsidRPr="00CF66E1">
              <w:rPr>
                <w:rFonts w:ascii="Arial" w:hAnsi="Arial" w:cs="Arial"/>
                <w:b/>
                <w:bCs/>
                <w:sz w:val="20"/>
                <w:szCs w:val="20"/>
                <w:lang w:val="en-US"/>
              </w:rPr>
              <w:t>Requisite Investors</w:t>
            </w:r>
            <w:r w:rsidRPr="00CF66E1">
              <w:rPr>
                <w:rFonts w:ascii="Arial" w:hAnsi="Arial" w:cs="Arial"/>
                <w:bCs/>
                <w:sz w:val="20"/>
                <w:szCs w:val="20"/>
                <w:lang w:val="en-US"/>
              </w:rPr>
              <w:t xml:space="preserve">” shall mean </w:t>
            </w:r>
            <w:r w:rsidRPr="00CF66E1">
              <w:rPr>
                <w:rFonts w:ascii="Arial" w:hAnsi="Arial" w:cs="Arial"/>
                <w:sz w:val="20"/>
                <w:szCs w:val="20"/>
                <w:lang w:val="en-US"/>
              </w:rPr>
              <w:t xml:space="preserve">Investors whose aggregate outstanding principal amount of the Loan represents at least </w:t>
            </w:r>
            <w:proofErr w:type="gramStart"/>
            <w:r w:rsidRPr="00CF66E1">
              <w:rPr>
                <w:rFonts w:ascii="Arial" w:hAnsi="Arial" w:cs="Arial"/>
                <w:sz w:val="20"/>
                <w:szCs w:val="20"/>
                <w:lang w:val="en-US"/>
              </w:rPr>
              <w:t>a majority of</w:t>
            </w:r>
            <w:proofErr w:type="gramEnd"/>
            <w:r w:rsidRPr="00CF66E1">
              <w:rPr>
                <w:rFonts w:ascii="Arial" w:hAnsi="Arial" w:cs="Arial"/>
                <w:sz w:val="20"/>
                <w:szCs w:val="20"/>
                <w:lang w:val="en-US"/>
              </w:rPr>
              <w:t xml:space="preserve"> the total outstanding principal amount of the Loan.</w:t>
            </w:r>
          </w:p>
        </w:tc>
      </w:tr>
      <w:tr w:rsidR="00415129" w:rsidRPr="00CF66E1" w14:paraId="436D057C" w14:textId="77777777" w:rsidTr="00105110">
        <w:trPr>
          <w:trHeight w:val="645"/>
        </w:trPr>
        <w:tc>
          <w:tcPr>
            <w:tcW w:w="2410" w:type="dxa"/>
          </w:tcPr>
          <w:p w14:paraId="695089B4" w14:textId="77777777" w:rsidR="00415129" w:rsidRPr="00CF66E1" w:rsidRDefault="00415129" w:rsidP="00105110">
            <w:pPr>
              <w:spacing w:after="120"/>
              <w:rPr>
                <w:rFonts w:ascii="Arial" w:hAnsi="Arial" w:cs="Arial"/>
                <w:b/>
                <w:sz w:val="20"/>
                <w:szCs w:val="20"/>
                <w:lang w:val="en-US"/>
              </w:rPr>
            </w:pPr>
            <w:r w:rsidRPr="00CF66E1">
              <w:rPr>
                <w:rFonts w:ascii="Arial" w:hAnsi="Arial" w:cs="Arial"/>
                <w:b/>
                <w:sz w:val="20"/>
                <w:szCs w:val="20"/>
                <w:lang w:val="en-US"/>
              </w:rPr>
              <w:t>Prepayment</w:t>
            </w:r>
          </w:p>
        </w:tc>
        <w:tc>
          <w:tcPr>
            <w:tcW w:w="7118" w:type="dxa"/>
            <w:gridSpan w:val="2"/>
          </w:tcPr>
          <w:p w14:paraId="51BFBAC5" w14:textId="77777777" w:rsidR="00415129" w:rsidRPr="00CF66E1" w:rsidRDefault="00415129" w:rsidP="00105110">
            <w:pPr>
              <w:spacing w:after="120"/>
              <w:rPr>
                <w:rFonts w:ascii="Arial" w:hAnsi="Arial" w:cs="Arial"/>
                <w:sz w:val="20"/>
                <w:szCs w:val="20"/>
                <w:lang w:val="en-US"/>
              </w:rPr>
            </w:pPr>
            <w:r w:rsidRPr="00CF66E1">
              <w:rPr>
                <w:rFonts w:ascii="Arial" w:hAnsi="Arial" w:cs="Arial"/>
                <w:sz w:val="20"/>
                <w:szCs w:val="20"/>
                <w:lang w:val="en-US"/>
              </w:rPr>
              <w:t>The Outstanding Debt may not be prepaid in whole or in part without the prior written consent of the Requisite Investors.</w:t>
            </w:r>
          </w:p>
        </w:tc>
      </w:tr>
      <w:tr w:rsidR="00415129" w:rsidRPr="00CF66E1" w14:paraId="6A5C44CB" w14:textId="77777777" w:rsidTr="00105110">
        <w:trPr>
          <w:gridAfter w:val="1"/>
          <w:wAfter w:w="108" w:type="dxa"/>
        </w:trPr>
        <w:tc>
          <w:tcPr>
            <w:tcW w:w="2410" w:type="dxa"/>
          </w:tcPr>
          <w:p w14:paraId="487851CB" w14:textId="77777777" w:rsidR="00415129" w:rsidRPr="00CF66E1" w:rsidRDefault="00415129" w:rsidP="00105110">
            <w:pPr>
              <w:spacing w:after="120"/>
              <w:rPr>
                <w:rFonts w:ascii="Arial" w:hAnsi="Arial" w:cs="Arial"/>
                <w:b/>
                <w:sz w:val="20"/>
                <w:szCs w:val="20"/>
                <w:lang w:val="en-US"/>
              </w:rPr>
            </w:pPr>
            <w:r w:rsidRPr="00CF66E1">
              <w:rPr>
                <w:rFonts w:ascii="Arial" w:hAnsi="Arial" w:cs="Arial"/>
                <w:b/>
                <w:sz w:val="20"/>
                <w:szCs w:val="20"/>
                <w:lang w:val="en-US"/>
              </w:rPr>
              <w:t>Conversion</w:t>
            </w:r>
          </w:p>
        </w:tc>
        <w:tc>
          <w:tcPr>
            <w:tcW w:w="7118" w:type="dxa"/>
          </w:tcPr>
          <w:p w14:paraId="4AE6BA3A" w14:textId="77777777" w:rsidR="00415129" w:rsidRPr="00CF66E1" w:rsidRDefault="00415129" w:rsidP="00105110">
            <w:pPr>
              <w:spacing w:after="120"/>
              <w:ind w:left="34"/>
              <w:rPr>
                <w:rFonts w:ascii="Arial" w:hAnsi="Arial" w:cs="Arial"/>
                <w:sz w:val="20"/>
                <w:szCs w:val="20"/>
                <w:lang w:val="en-US"/>
              </w:rPr>
            </w:pPr>
            <w:r w:rsidRPr="00CF66E1">
              <w:rPr>
                <w:rFonts w:ascii="Arial" w:hAnsi="Arial" w:cs="Arial"/>
                <w:sz w:val="20"/>
                <w:szCs w:val="20"/>
                <w:lang w:val="en-US"/>
              </w:rPr>
              <w:t>In case the Company issues new share(s) to any third party, as a result of which the Company acquires at least [</w:t>
            </w:r>
            <w:r w:rsidR="00D25F8E" w:rsidRPr="00CF66E1">
              <w:rPr>
                <w:rFonts w:ascii="Arial" w:hAnsi="Arial" w:cs="Arial"/>
                <w:i/>
                <w:sz w:val="20"/>
                <w:szCs w:val="20"/>
                <w:highlight w:val="yellow"/>
                <w:lang w:val="en-US"/>
              </w:rPr>
              <w:fldChar w:fldCharType="begin">
                <w:ffData>
                  <w:name w:val=""/>
                  <w:enabled/>
                  <w:calcOnExit w:val="0"/>
                  <w:textInput>
                    <w:default w:val="insert amount"/>
                  </w:textInput>
                </w:ffData>
              </w:fldChar>
            </w:r>
            <w:r w:rsidRPr="00CF66E1">
              <w:rPr>
                <w:rFonts w:ascii="Arial" w:hAnsi="Arial" w:cs="Arial"/>
                <w:i/>
                <w:sz w:val="20"/>
                <w:szCs w:val="20"/>
                <w:highlight w:val="yellow"/>
                <w:lang w:val="en-US"/>
              </w:rPr>
              <w:instrText xml:space="preserve"> FORMTEXT </w:instrText>
            </w:r>
            <w:r w:rsidR="00D25F8E" w:rsidRPr="00CF66E1">
              <w:rPr>
                <w:rFonts w:ascii="Arial" w:hAnsi="Arial" w:cs="Arial"/>
                <w:i/>
                <w:sz w:val="20"/>
                <w:szCs w:val="20"/>
                <w:highlight w:val="yellow"/>
                <w:lang w:val="en-US"/>
              </w:rPr>
            </w:r>
            <w:r w:rsidR="00D25F8E" w:rsidRPr="00CF66E1">
              <w:rPr>
                <w:rFonts w:ascii="Arial" w:hAnsi="Arial" w:cs="Arial"/>
                <w:i/>
                <w:sz w:val="20"/>
                <w:szCs w:val="20"/>
                <w:highlight w:val="yellow"/>
                <w:lang w:val="en-US"/>
              </w:rPr>
              <w:fldChar w:fldCharType="separate"/>
            </w:r>
            <w:r w:rsidRPr="00CF66E1">
              <w:rPr>
                <w:rFonts w:ascii="Arial" w:hAnsi="Arial" w:cs="Arial"/>
                <w:i/>
                <w:noProof/>
                <w:sz w:val="20"/>
                <w:szCs w:val="20"/>
                <w:highlight w:val="yellow"/>
                <w:lang w:val="en-US"/>
              </w:rPr>
              <w:t>insert amount</w:t>
            </w:r>
            <w:r w:rsidR="00D25F8E" w:rsidRPr="00CF66E1">
              <w:rPr>
                <w:rFonts w:ascii="Arial" w:hAnsi="Arial" w:cs="Arial"/>
                <w:i/>
                <w:sz w:val="20"/>
                <w:szCs w:val="20"/>
                <w:highlight w:val="yellow"/>
                <w:lang w:val="en-US"/>
              </w:rPr>
              <w:fldChar w:fldCharType="end"/>
            </w:r>
            <w:r w:rsidRPr="00CF66E1">
              <w:rPr>
                <w:rFonts w:ascii="Arial" w:hAnsi="Arial" w:cs="Arial"/>
                <w:sz w:val="20"/>
                <w:szCs w:val="20"/>
                <w:lang w:val="en-US"/>
              </w:rPr>
              <w:t>] EUR in gross proceeds (“</w:t>
            </w:r>
            <w:r w:rsidRPr="00CF66E1">
              <w:rPr>
                <w:rFonts w:ascii="Arial" w:hAnsi="Arial" w:cs="Arial"/>
                <w:b/>
                <w:sz w:val="20"/>
                <w:szCs w:val="20"/>
                <w:lang w:val="en-US"/>
              </w:rPr>
              <w:t>New Financing Round</w:t>
            </w:r>
            <w:r w:rsidRPr="00CF66E1">
              <w:rPr>
                <w:rFonts w:ascii="Arial" w:hAnsi="Arial" w:cs="Arial"/>
                <w:sz w:val="20"/>
                <w:szCs w:val="20"/>
                <w:lang w:val="en-US"/>
              </w:rPr>
              <w:t xml:space="preserve">”) before the Conversion Date, the Outstanding Debt shall be automatically converted into newly issued share(s) of the Company based on the pre-money valuation (in regard to </w:t>
            </w:r>
            <w:r w:rsidRPr="00CF66E1">
              <w:rPr>
                <w:rFonts w:ascii="Arial" w:hAnsi="Arial" w:cs="Arial"/>
                <w:color w:val="000000"/>
                <w:sz w:val="20"/>
                <w:szCs w:val="20"/>
                <w:lang w:val="en-US"/>
              </w:rPr>
              <w:t>the Company’s fully diluted share capital immediately prior to the new Financing Round)</w:t>
            </w:r>
            <w:r w:rsidRPr="00CF66E1">
              <w:rPr>
                <w:rFonts w:ascii="Arial" w:hAnsi="Arial" w:cs="Arial"/>
                <w:sz w:val="20"/>
                <w:szCs w:val="20"/>
                <w:lang w:val="en-US"/>
              </w:rPr>
              <w:t>, which is the lower of: (</w:t>
            </w:r>
            <w:proofErr w:type="spellStart"/>
            <w:r w:rsidRPr="00CF66E1">
              <w:rPr>
                <w:rFonts w:ascii="Arial" w:hAnsi="Arial" w:cs="Arial"/>
                <w:sz w:val="20"/>
                <w:szCs w:val="20"/>
                <w:lang w:val="en-US"/>
              </w:rPr>
              <w:t>i</w:t>
            </w:r>
            <w:proofErr w:type="spellEnd"/>
            <w:r w:rsidRPr="00CF66E1">
              <w:rPr>
                <w:rFonts w:ascii="Arial" w:hAnsi="Arial" w:cs="Arial"/>
                <w:sz w:val="20"/>
                <w:szCs w:val="20"/>
                <w:lang w:val="en-US"/>
              </w:rPr>
              <w:t>) [</w:t>
            </w:r>
            <w:r w:rsidR="00D25F8E" w:rsidRPr="00CF66E1">
              <w:rPr>
                <w:rFonts w:ascii="Arial" w:hAnsi="Arial" w:cs="Arial"/>
                <w:i/>
                <w:sz w:val="20"/>
                <w:szCs w:val="20"/>
                <w:highlight w:val="yellow"/>
                <w:lang w:val="en-US"/>
              </w:rPr>
              <w:fldChar w:fldCharType="begin">
                <w:ffData>
                  <w:name w:val=""/>
                  <w:enabled/>
                  <w:calcOnExit w:val="0"/>
                  <w:textInput>
                    <w:default w:val="insert amount"/>
                  </w:textInput>
                </w:ffData>
              </w:fldChar>
            </w:r>
            <w:r w:rsidRPr="00CF66E1">
              <w:rPr>
                <w:rFonts w:ascii="Arial" w:hAnsi="Arial" w:cs="Arial"/>
                <w:i/>
                <w:sz w:val="20"/>
                <w:szCs w:val="20"/>
                <w:highlight w:val="yellow"/>
                <w:lang w:val="en-US"/>
              </w:rPr>
              <w:instrText xml:space="preserve"> FORMTEXT </w:instrText>
            </w:r>
            <w:r w:rsidR="00D25F8E" w:rsidRPr="00CF66E1">
              <w:rPr>
                <w:rFonts w:ascii="Arial" w:hAnsi="Arial" w:cs="Arial"/>
                <w:i/>
                <w:sz w:val="20"/>
                <w:szCs w:val="20"/>
                <w:highlight w:val="yellow"/>
                <w:lang w:val="en-US"/>
              </w:rPr>
            </w:r>
            <w:r w:rsidR="00D25F8E" w:rsidRPr="00CF66E1">
              <w:rPr>
                <w:rFonts w:ascii="Arial" w:hAnsi="Arial" w:cs="Arial"/>
                <w:i/>
                <w:sz w:val="20"/>
                <w:szCs w:val="20"/>
                <w:highlight w:val="yellow"/>
                <w:lang w:val="en-US"/>
              </w:rPr>
              <w:fldChar w:fldCharType="separate"/>
            </w:r>
            <w:r w:rsidRPr="00CF66E1">
              <w:rPr>
                <w:rFonts w:ascii="Arial" w:hAnsi="Arial" w:cs="Arial"/>
                <w:i/>
                <w:noProof/>
                <w:sz w:val="20"/>
                <w:szCs w:val="20"/>
                <w:highlight w:val="yellow"/>
                <w:lang w:val="en-US"/>
              </w:rPr>
              <w:t xml:space="preserve">insert </w:t>
            </w:r>
            <w:r w:rsidR="00D25F8E" w:rsidRPr="00CF66E1">
              <w:rPr>
                <w:rFonts w:ascii="Arial" w:hAnsi="Arial" w:cs="Arial"/>
                <w:i/>
                <w:sz w:val="20"/>
                <w:szCs w:val="20"/>
                <w:highlight w:val="yellow"/>
                <w:lang w:val="en-US"/>
              </w:rPr>
              <w:fldChar w:fldCharType="end"/>
            </w:r>
            <w:r w:rsidRPr="00CF66E1">
              <w:rPr>
                <w:rFonts w:ascii="Arial" w:hAnsi="Arial" w:cs="Arial"/>
                <w:i/>
                <w:sz w:val="20"/>
                <w:szCs w:val="20"/>
                <w:highlight w:val="yellow"/>
                <w:lang w:val="en-US"/>
              </w:rPr>
              <w:t>the agreed maximum pre-money valuation of the Company</w:t>
            </w:r>
            <w:r w:rsidRPr="00CF66E1">
              <w:rPr>
                <w:rFonts w:ascii="Arial" w:hAnsi="Arial" w:cs="Arial"/>
                <w:sz w:val="20"/>
                <w:szCs w:val="20"/>
                <w:lang w:val="en-US"/>
              </w:rPr>
              <w:t>] EUR (“</w:t>
            </w:r>
            <w:r w:rsidRPr="00CF66E1">
              <w:rPr>
                <w:rFonts w:ascii="Arial" w:hAnsi="Arial" w:cs="Arial"/>
                <w:b/>
                <w:bCs/>
                <w:sz w:val="20"/>
                <w:szCs w:val="20"/>
                <w:lang w:val="en-US"/>
              </w:rPr>
              <w:t>CAP</w:t>
            </w:r>
            <w:r w:rsidRPr="00CF66E1">
              <w:rPr>
                <w:rFonts w:ascii="Arial" w:hAnsi="Arial" w:cs="Arial"/>
                <w:sz w:val="20"/>
                <w:szCs w:val="20"/>
                <w:lang w:val="en-US"/>
              </w:rPr>
              <w:t>”); or (ii) the pre-money valuation of the New Financing Round multiplied by [</w:t>
            </w:r>
            <w:r w:rsidRPr="00CF66E1">
              <w:rPr>
                <w:rFonts w:ascii="Arial" w:hAnsi="Arial" w:cs="Arial"/>
                <w:i/>
                <w:sz w:val="20"/>
                <w:szCs w:val="20"/>
                <w:highlight w:val="yellow"/>
                <w:lang w:val="en-US"/>
              </w:rPr>
              <w:t>insert the amount of the discount</w:t>
            </w:r>
            <w:r w:rsidRPr="00CF66E1">
              <w:rPr>
                <w:rFonts w:ascii="Arial" w:hAnsi="Arial" w:cs="Arial"/>
                <w:i/>
                <w:sz w:val="20"/>
                <w:szCs w:val="20"/>
                <w:lang w:val="en-US"/>
              </w:rPr>
              <w:t>, e.g. if discount is 20%, the amount should be 0,8</w:t>
            </w:r>
            <w:r w:rsidRPr="00CF66E1">
              <w:rPr>
                <w:rFonts w:ascii="Arial" w:hAnsi="Arial" w:cs="Arial"/>
                <w:sz w:val="20"/>
                <w:szCs w:val="20"/>
                <w:lang w:val="en-US"/>
              </w:rPr>
              <w:t>] (“</w:t>
            </w:r>
            <w:r w:rsidRPr="00CF66E1">
              <w:rPr>
                <w:rFonts w:ascii="Arial" w:hAnsi="Arial" w:cs="Arial"/>
                <w:b/>
                <w:bCs/>
                <w:sz w:val="20"/>
                <w:szCs w:val="20"/>
                <w:lang w:val="en-US"/>
              </w:rPr>
              <w:t>Discounted Valuation</w:t>
            </w:r>
            <w:r w:rsidRPr="00CF66E1">
              <w:rPr>
                <w:rFonts w:ascii="Arial" w:hAnsi="Arial" w:cs="Arial"/>
                <w:sz w:val="20"/>
                <w:szCs w:val="20"/>
                <w:lang w:val="en-US"/>
              </w:rPr>
              <w:t xml:space="preserve">”), whereas the conversion of the Outstanding Debt shall take place simultaneously with the New Financing Round. </w:t>
            </w:r>
          </w:p>
          <w:p w14:paraId="108328FA" w14:textId="77777777" w:rsidR="00415129" w:rsidRPr="00CF66E1" w:rsidRDefault="00415129" w:rsidP="00105110">
            <w:pPr>
              <w:spacing w:after="120"/>
              <w:rPr>
                <w:rFonts w:ascii="Arial" w:hAnsi="Arial" w:cs="Arial"/>
                <w:b/>
                <w:bCs/>
                <w:sz w:val="20"/>
                <w:szCs w:val="20"/>
                <w:lang w:val="en-US"/>
              </w:rPr>
            </w:pPr>
            <w:r w:rsidRPr="00CF66E1">
              <w:rPr>
                <w:rFonts w:ascii="Arial" w:hAnsi="Arial" w:cs="Arial"/>
                <w:sz w:val="20"/>
                <w:szCs w:val="20"/>
                <w:lang w:val="en-US"/>
              </w:rPr>
              <w:t>The formula to be used for calculating the ownership percentage of the Investors in the Company’s fully diluted share capital immediately after conversion of the Outstanding Debt in full shall be as follows:</w:t>
            </w:r>
          </w:p>
          <w:p w14:paraId="12C7B37F" w14:textId="77777777" w:rsidR="00415129" w:rsidRPr="00CF66E1" w:rsidRDefault="00415129" w:rsidP="00105110">
            <w:pPr>
              <w:spacing w:after="120"/>
              <w:ind w:left="-108" w:right="-78"/>
              <w:jc w:val="left"/>
              <w:rPr>
                <w:rFonts w:ascii="Arial" w:eastAsiaTheme="majorEastAsia" w:hAnsi="Arial" w:cs="Arial"/>
                <w:b/>
                <w:bCs/>
                <w:color w:val="365F91" w:themeColor="accent1" w:themeShade="BF"/>
                <w:sz w:val="20"/>
                <w:szCs w:val="20"/>
                <w:lang w:val="en-US"/>
              </w:rPr>
            </w:pPr>
            <w:r w:rsidRPr="00CF66E1">
              <w:rPr>
                <w:rFonts w:ascii="Arial" w:hAnsi="Arial" w:cs="Arial"/>
                <w:i/>
                <w:sz w:val="20"/>
                <w:szCs w:val="20"/>
                <w:lang w:val="en-US"/>
              </w:rPr>
              <w:t xml:space="preserve">Ownership % </w:t>
            </w:r>
            <m:oMath>
              <m:r>
                <w:rPr>
                  <w:rFonts w:ascii="Cambria Math" w:hAnsi="Cambria Math" w:cs="Arial"/>
                  <w:sz w:val="20"/>
                  <w:szCs w:val="20"/>
                  <w:lang w:val="en-US"/>
                </w:rPr>
                <m:t>=</m:t>
              </m:r>
              <m:f>
                <m:fPr>
                  <m:ctrlPr>
                    <w:rPr>
                      <w:rFonts w:ascii="Cambria Math" w:hAnsi="Cambria Math" w:cs="Arial"/>
                      <w:i/>
                      <w:sz w:val="20"/>
                      <w:szCs w:val="20"/>
                      <w:lang w:val="en-US"/>
                    </w:rPr>
                  </m:ctrlPr>
                </m:fPr>
                <m:num>
                  <m:r>
                    <w:rPr>
                      <w:rFonts w:ascii="Cambria Math" w:hAnsi="Cambria Math" w:cs="Arial"/>
                      <w:sz w:val="20"/>
                      <w:szCs w:val="20"/>
                      <w:lang w:val="en-US"/>
                    </w:rPr>
                    <m:t>Outstanding Debt x 100</m:t>
                  </m:r>
                </m:num>
                <m:den>
                  <m:r>
                    <w:rPr>
                      <w:rFonts w:ascii="Cambria Math" w:hAnsi="Cambria Math" w:cs="Arial"/>
                      <w:sz w:val="20"/>
                      <w:szCs w:val="20"/>
                      <w:lang w:val="en-US"/>
                    </w:rPr>
                    <m:t>Outstanding Debt + CAP or Discounted Valuation,   whichever is lower</m:t>
                  </m:r>
                </m:den>
              </m:f>
            </m:oMath>
          </w:p>
          <w:p w14:paraId="123DDD37" w14:textId="77777777" w:rsidR="00415129" w:rsidRPr="00CF66E1" w:rsidRDefault="00415129" w:rsidP="00105110">
            <w:pPr>
              <w:spacing w:after="120"/>
              <w:ind w:left="34"/>
              <w:rPr>
                <w:rFonts w:ascii="Arial" w:hAnsi="Arial" w:cs="Arial"/>
                <w:color w:val="000000"/>
                <w:sz w:val="20"/>
                <w:szCs w:val="20"/>
                <w:lang w:val="en-US"/>
              </w:rPr>
            </w:pPr>
            <w:r w:rsidRPr="00CF66E1">
              <w:rPr>
                <w:rFonts w:ascii="Arial" w:hAnsi="Arial" w:cs="Arial"/>
                <w:color w:val="000000"/>
                <w:sz w:val="20"/>
                <w:szCs w:val="20"/>
                <w:lang w:val="en-US"/>
              </w:rPr>
              <w:t xml:space="preserve">If the Company has not completed the New Financing Round at the latest by </w:t>
            </w:r>
            <w:r w:rsidRPr="00CF66E1">
              <w:rPr>
                <w:rFonts w:ascii="Arial" w:hAnsi="Arial" w:cs="Arial"/>
                <w:color w:val="000000"/>
                <w:sz w:val="20"/>
                <w:szCs w:val="20"/>
                <w:lang w:val="en-US"/>
              </w:rPr>
              <w:lastRenderedPageBreak/>
              <w:t>the Conversion Date, the Requisite Investors may, no later than within [</w:t>
            </w:r>
            <w:r w:rsidRPr="00CF66E1">
              <w:rPr>
                <w:rFonts w:ascii="Arial" w:hAnsi="Arial" w:cs="Arial"/>
                <w:i/>
                <w:color w:val="000000"/>
                <w:sz w:val="20"/>
                <w:szCs w:val="20"/>
                <w:highlight w:val="yellow"/>
                <w:lang w:val="en-US"/>
              </w:rPr>
              <w:t>insert the period during which the Investors need to decide as provided herein</w:t>
            </w:r>
            <w:r w:rsidRPr="00CF66E1">
              <w:rPr>
                <w:rFonts w:ascii="Arial" w:hAnsi="Arial" w:cs="Arial"/>
                <w:color w:val="000000"/>
                <w:sz w:val="20"/>
                <w:szCs w:val="20"/>
                <w:lang w:val="en-US"/>
              </w:rPr>
              <w:t>] as of the Conversion Date, choose to either: (</w:t>
            </w:r>
            <w:proofErr w:type="spellStart"/>
            <w:r w:rsidRPr="00CF66E1">
              <w:rPr>
                <w:rFonts w:ascii="Arial" w:hAnsi="Arial" w:cs="Arial"/>
                <w:color w:val="000000"/>
                <w:sz w:val="20"/>
                <w:szCs w:val="20"/>
                <w:lang w:val="en-US"/>
              </w:rPr>
              <w:t>i</w:t>
            </w:r>
            <w:proofErr w:type="spellEnd"/>
            <w:r w:rsidRPr="00CF66E1">
              <w:rPr>
                <w:rFonts w:ascii="Arial" w:hAnsi="Arial" w:cs="Arial"/>
                <w:color w:val="000000"/>
                <w:sz w:val="20"/>
                <w:szCs w:val="20"/>
                <w:lang w:val="en-US"/>
              </w:rPr>
              <w:t>) request repayment of the Outstanding Debt as set forth in section “Repayment” above; or (ii) convert the Outstanding Debt into the share(s) of the Company based on the pre-money valuation (</w:t>
            </w:r>
            <w:r w:rsidRPr="00CF66E1">
              <w:rPr>
                <w:rFonts w:ascii="Arial" w:hAnsi="Arial" w:cs="Arial"/>
                <w:sz w:val="20"/>
                <w:szCs w:val="20"/>
                <w:lang w:val="en-US"/>
              </w:rPr>
              <w:t xml:space="preserve">in regard to </w:t>
            </w:r>
            <w:r w:rsidRPr="00CF66E1">
              <w:rPr>
                <w:rFonts w:ascii="Arial" w:hAnsi="Arial" w:cs="Arial"/>
                <w:color w:val="000000"/>
                <w:sz w:val="20"/>
                <w:szCs w:val="20"/>
                <w:lang w:val="en-US"/>
              </w:rPr>
              <w:t xml:space="preserve">the Company’s fully diluted share capital immediately prior to conversion of Outstanding Debt) of </w:t>
            </w:r>
            <w:r w:rsidRPr="00CF66E1">
              <w:rPr>
                <w:rFonts w:ascii="Arial" w:hAnsi="Arial" w:cs="Arial"/>
                <w:sz w:val="20"/>
                <w:szCs w:val="20"/>
                <w:lang w:val="en-US"/>
              </w:rPr>
              <w:t>[</w:t>
            </w:r>
            <w:r w:rsidR="00D25F8E" w:rsidRPr="00CF66E1">
              <w:rPr>
                <w:rFonts w:ascii="Arial" w:hAnsi="Arial" w:cs="Arial"/>
                <w:i/>
                <w:sz w:val="20"/>
                <w:szCs w:val="20"/>
                <w:highlight w:val="yellow"/>
                <w:lang w:val="en-US"/>
              </w:rPr>
              <w:fldChar w:fldCharType="begin">
                <w:ffData>
                  <w:name w:val=""/>
                  <w:enabled/>
                  <w:calcOnExit w:val="0"/>
                  <w:textInput>
                    <w:default w:val="insert amount"/>
                  </w:textInput>
                </w:ffData>
              </w:fldChar>
            </w:r>
            <w:r w:rsidRPr="00CF66E1">
              <w:rPr>
                <w:rFonts w:ascii="Arial" w:hAnsi="Arial" w:cs="Arial"/>
                <w:i/>
                <w:sz w:val="20"/>
                <w:szCs w:val="20"/>
                <w:highlight w:val="yellow"/>
                <w:lang w:val="en-US"/>
              </w:rPr>
              <w:instrText xml:space="preserve"> FORMTEXT </w:instrText>
            </w:r>
            <w:r w:rsidR="00D25F8E" w:rsidRPr="00CF66E1">
              <w:rPr>
                <w:rFonts w:ascii="Arial" w:hAnsi="Arial" w:cs="Arial"/>
                <w:i/>
                <w:sz w:val="20"/>
                <w:szCs w:val="20"/>
                <w:highlight w:val="yellow"/>
                <w:lang w:val="en-US"/>
              </w:rPr>
            </w:r>
            <w:r w:rsidR="00D25F8E" w:rsidRPr="00CF66E1">
              <w:rPr>
                <w:rFonts w:ascii="Arial" w:hAnsi="Arial" w:cs="Arial"/>
                <w:i/>
                <w:sz w:val="20"/>
                <w:szCs w:val="20"/>
                <w:highlight w:val="yellow"/>
                <w:lang w:val="en-US"/>
              </w:rPr>
              <w:fldChar w:fldCharType="separate"/>
            </w:r>
            <w:r w:rsidRPr="00CF66E1">
              <w:rPr>
                <w:rFonts w:ascii="Arial" w:hAnsi="Arial" w:cs="Arial"/>
                <w:i/>
                <w:noProof/>
                <w:sz w:val="20"/>
                <w:szCs w:val="20"/>
                <w:highlight w:val="yellow"/>
                <w:lang w:val="en-US"/>
              </w:rPr>
              <w:t xml:space="preserve">insert </w:t>
            </w:r>
            <w:r w:rsidR="00D25F8E" w:rsidRPr="00CF66E1">
              <w:rPr>
                <w:rFonts w:ascii="Arial" w:hAnsi="Arial" w:cs="Arial"/>
                <w:i/>
                <w:sz w:val="20"/>
                <w:szCs w:val="20"/>
                <w:highlight w:val="yellow"/>
                <w:lang w:val="en-US"/>
              </w:rPr>
              <w:fldChar w:fldCharType="end"/>
            </w:r>
            <w:r w:rsidRPr="00CF66E1">
              <w:rPr>
                <w:rFonts w:ascii="Arial" w:hAnsi="Arial" w:cs="Arial"/>
                <w:i/>
                <w:sz w:val="20"/>
                <w:szCs w:val="20"/>
                <w:highlight w:val="yellow"/>
                <w:lang w:val="en-US"/>
              </w:rPr>
              <w:t>the agreed minimum pre-money valuation of the Company</w:t>
            </w:r>
            <w:r w:rsidRPr="00CF66E1">
              <w:rPr>
                <w:rFonts w:ascii="Arial" w:hAnsi="Arial" w:cs="Arial"/>
                <w:sz w:val="20"/>
                <w:szCs w:val="20"/>
                <w:lang w:val="en-US"/>
              </w:rPr>
              <w:t>]</w:t>
            </w:r>
            <w:r w:rsidRPr="00CF66E1">
              <w:rPr>
                <w:rFonts w:ascii="Arial" w:hAnsi="Arial" w:cs="Arial"/>
                <w:color w:val="000000"/>
                <w:sz w:val="20"/>
                <w:szCs w:val="20"/>
                <w:lang w:val="en-US"/>
              </w:rPr>
              <w:t xml:space="preserve">. </w:t>
            </w:r>
          </w:p>
        </w:tc>
      </w:tr>
      <w:tr w:rsidR="00415129" w:rsidRPr="00CF66E1" w14:paraId="269CABBA" w14:textId="77777777" w:rsidTr="00105110">
        <w:tc>
          <w:tcPr>
            <w:tcW w:w="2410" w:type="dxa"/>
          </w:tcPr>
          <w:p w14:paraId="70C81A53"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lastRenderedPageBreak/>
              <w:t>Important Decisions</w:t>
            </w:r>
          </w:p>
        </w:tc>
        <w:tc>
          <w:tcPr>
            <w:tcW w:w="7118" w:type="dxa"/>
            <w:gridSpan w:val="2"/>
          </w:tcPr>
          <w:p w14:paraId="47A6E8A6"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Taking any action related to the Company in the matters provided below shall require a prior written approval of the Requisite Investors:</w:t>
            </w:r>
          </w:p>
          <w:p w14:paraId="693803F1" w14:textId="77777777" w:rsidR="00415129" w:rsidRPr="00CF66E1" w:rsidRDefault="00415129" w:rsidP="00105110">
            <w:pPr>
              <w:pStyle w:val="ListParagraph"/>
              <w:numPr>
                <w:ilvl w:val="0"/>
                <w:numId w:val="1"/>
              </w:numPr>
              <w:spacing w:after="120"/>
              <w:ind w:left="459" w:hanging="459"/>
              <w:rPr>
                <w:rFonts w:ascii="Arial" w:hAnsi="Arial" w:cs="Arial"/>
                <w:sz w:val="20"/>
                <w:szCs w:val="20"/>
              </w:rPr>
            </w:pPr>
            <w:r w:rsidRPr="00CF66E1">
              <w:rPr>
                <w:rFonts w:ascii="Arial" w:hAnsi="Arial" w:cs="Arial"/>
                <w:sz w:val="20"/>
                <w:szCs w:val="20"/>
              </w:rPr>
              <w:t xml:space="preserve">amending the articles of association of the </w:t>
            </w:r>
            <w:proofErr w:type="gramStart"/>
            <w:r w:rsidRPr="00CF66E1">
              <w:rPr>
                <w:rFonts w:ascii="Arial" w:hAnsi="Arial" w:cs="Arial"/>
                <w:sz w:val="20"/>
                <w:szCs w:val="20"/>
              </w:rPr>
              <w:t>Company;</w:t>
            </w:r>
            <w:proofErr w:type="gramEnd"/>
          </w:p>
          <w:p w14:paraId="24FC1403" w14:textId="77777777" w:rsidR="00415129" w:rsidRPr="00CF66E1" w:rsidRDefault="00415129" w:rsidP="00105110">
            <w:pPr>
              <w:pStyle w:val="ListParagraph"/>
              <w:numPr>
                <w:ilvl w:val="0"/>
                <w:numId w:val="1"/>
              </w:numPr>
              <w:spacing w:after="120"/>
              <w:ind w:left="459" w:hanging="459"/>
              <w:rPr>
                <w:rFonts w:ascii="Arial" w:hAnsi="Arial" w:cs="Arial"/>
                <w:sz w:val="20"/>
                <w:szCs w:val="20"/>
              </w:rPr>
            </w:pPr>
            <w:r w:rsidRPr="00CF66E1">
              <w:rPr>
                <w:rFonts w:ascii="Arial" w:hAnsi="Arial" w:cs="Arial"/>
                <w:sz w:val="20"/>
                <w:szCs w:val="20"/>
              </w:rPr>
              <w:t xml:space="preserve">increasing or decreasing the share capital of the Company, including exclusion of the shareholders’ preferential subscription </w:t>
            </w:r>
            <w:proofErr w:type="gramStart"/>
            <w:r w:rsidRPr="00CF66E1">
              <w:rPr>
                <w:rFonts w:ascii="Arial" w:hAnsi="Arial" w:cs="Arial"/>
                <w:sz w:val="20"/>
                <w:szCs w:val="20"/>
              </w:rPr>
              <w:t>rights;</w:t>
            </w:r>
            <w:proofErr w:type="gramEnd"/>
          </w:p>
          <w:p w14:paraId="75987A4C" w14:textId="77777777" w:rsidR="00415129" w:rsidRPr="00CF66E1" w:rsidRDefault="00415129" w:rsidP="00105110">
            <w:pPr>
              <w:pStyle w:val="ListParagraph"/>
              <w:numPr>
                <w:ilvl w:val="0"/>
                <w:numId w:val="1"/>
              </w:numPr>
              <w:spacing w:after="120"/>
              <w:ind w:left="459" w:hanging="459"/>
              <w:rPr>
                <w:rFonts w:ascii="Arial" w:hAnsi="Arial" w:cs="Arial"/>
                <w:sz w:val="20"/>
                <w:szCs w:val="20"/>
              </w:rPr>
            </w:pPr>
            <w:r w:rsidRPr="00CF66E1">
              <w:rPr>
                <w:rFonts w:ascii="Arial" w:hAnsi="Arial" w:cs="Arial"/>
                <w:sz w:val="20"/>
                <w:szCs w:val="20"/>
              </w:rPr>
              <w:t xml:space="preserve">issue of any convertible notes and entry into, or amendment of any material terms of, any convertible loan agreement, convertible note, option plan, option agreement or other transaction granting any person any right to acquire any shares of the </w:t>
            </w:r>
            <w:proofErr w:type="gramStart"/>
            <w:r w:rsidRPr="00CF66E1">
              <w:rPr>
                <w:rFonts w:ascii="Arial" w:hAnsi="Arial" w:cs="Arial"/>
                <w:sz w:val="20"/>
                <w:szCs w:val="20"/>
              </w:rPr>
              <w:t>Company;</w:t>
            </w:r>
            <w:proofErr w:type="gramEnd"/>
          </w:p>
          <w:p w14:paraId="7598B330" w14:textId="77777777" w:rsidR="00415129" w:rsidRPr="00CF66E1" w:rsidRDefault="00415129" w:rsidP="00105110">
            <w:pPr>
              <w:pStyle w:val="ListParagraph"/>
              <w:numPr>
                <w:ilvl w:val="0"/>
                <w:numId w:val="1"/>
              </w:numPr>
              <w:spacing w:after="120"/>
              <w:ind w:left="459" w:hanging="459"/>
              <w:rPr>
                <w:rFonts w:ascii="Arial" w:hAnsi="Arial" w:cs="Arial"/>
                <w:sz w:val="20"/>
                <w:szCs w:val="20"/>
              </w:rPr>
            </w:pPr>
            <w:r w:rsidRPr="00CF66E1">
              <w:rPr>
                <w:rFonts w:ascii="Arial" w:hAnsi="Arial" w:cs="Arial"/>
                <w:sz w:val="20"/>
                <w:szCs w:val="20"/>
              </w:rPr>
              <w:t xml:space="preserve">acquisition by the Company of its own share(s) and transfer of any share(s) so </w:t>
            </w:r>
            <w:proofErr w:type="gramStart"/>
            <w:r w:rsidRPr="00CF66E1">
              <w:rPr>
                <w:rFonts w:ascii="Arial" w:hAnsi="Arial" w:cs="Arial"/>
                <w:sz w:val="20"/>
                <w:szCs w:val="20"/>
              </w:rPr>
              <w:t>acquired;</w:t>
            </w:r>
            <w:proofErr w:type="gramEnd"/>
          </w:p>
          <w:p w14:paraId="7E1F22C2" w14:textId="77777777" w:rsidR="00415129" w:rsidRPr="00CF66E1" w:rsidRDefault="00415129" w:rsidP="00105110">
            <w:pPr>
              <w:pStyle w:val="ListParagraph"/>
              <w:numPr>
                <w:ilvl w:val="0"/>
                <w:numId w:val="1"/>
              </w:numPr>
              <w:spacing w:after="120"/>
              <w:ind w:left="459" w:hanging="459"/>
              <w:rPr>
                <w:rFonts w:ascii="Arial" w:hAnsi="Arial" w:cs="Arial"/>
                <w:sz w:val="20"/>
                <w:szCs w:val="20"/>
              </w:rPr>
            </w:pPr>
            <w:r w:rsidRPr="00CF66E1">
              <w:rPr>
                <w:rFonts w:ascii="Arial" w:hAnsi="Arial" w:cs="Arial"/>
                <w:sz w:val="20"/>
                <w:szCs w:val="20"/>
              </w:rPr>
              <w:t xml:space="preserve">merger, division, transformation or dissolution of the </w:t>
            </w:r>
            <w:proofErr w:type="gramStart"/>
            <w:r w:rsidRPr="00CF66E1">
              <w:rPr>
                <w:rFonts w:ascii="Arial" w:hAnsi="Arial" w:cs="Arial"/>
                <w:sz w:val="20"/>
                <w:szCs w:val="20"/>
              </w:rPr>
              <w:t>Company;</w:t>
            </w:r>
            <w:proofErr w:type="gramEnd"/>
          </w:p>
          <w:p w14:paraId="0B856317" w14:textId="77777777" w:rsidR="00415129" w:rsidRPr="00CF66E1" w:rsidRDefault="00415129" w:rsidP="00105110">
            <w:pPr>
              <w:pStyle w:val="ListParagraph"/>
              <w:numPr>
                <w:ilvl w:val="0"/>
                <w:numId w:val="1"/>
              </w:numPr>
              <w:spacing w:after="120"/>
              <w:ind w:left="459" w:hanging="459"/>
              <w:rPr>
                <w:rFonts w:ascii="Arial" w:hAnsi="Arial" w:cs="Arial"/>
                <w:sz w:val="20"/>
                <w:szCs w:val="20"/>
              </w:rPr>
            </w:pPr>
            <w:r w:rsidRPr="00CF66E1">
              <w:rPr>
                <w:rFonts w:ascii="Arial" w:hAnsi="Arial" w:cs="Arial"/>
                <w:sz w:val="20"/>
                <w:szCs w:val="20"/>
              </w:rPr>
              <w:t xml:space="preserve">electing and removing the members of the management board of the </w:t>
            </w:r>
            <w:proofErr w:type="gramStart"/>
            <w:r w:rsidRPr="00CF66E1">
              <w:rPr>
                <w:rFonts w:ascii="Arial" w:hAnsi="Arial" w:cs="Arial"/>
                <w:sz w:val="20"/>
                <w:szCs w:val="20"/>
              </w:rPr>
              <w:t>Company;</w:t>
            </w:r>
            <w:proofErr w:type="gramEnd"/>
          </w:p>
          <w:p w14:paraId="17373184" w14:textId="77777777" w:rsidR="00415129" w:rsidRPr="00CF66E1" w:rsidRDefault="00415129" w:rsidP="00105110">
            <w:pPr>
              <w:pStyle w:val="ListParagraph"/>
              <w:numPr>
                <w:ilvl w:val="0"/>
                <w:numId w:val="1"/>
              </w:numPr>
              <w:spacing w:after="120"/>
              <w:ind w:left="459" w:hanging="459"/>
              <w:rPr>
                <w:rFonts w:ascii="Arial" w:hAnsi="Arial" w:cs="Arial"/>
                <w:sz w:val="20"/>
                <w:szCs w:val="20"/>
              </w:rPr>
            </w:pPr>
            <w:r w:rsidRPr="00CF66E1">
              <w:rPr>
                <w:rFonts w:ascii="Arial" w:hAnsi="Arial" w:cs="Arial"/>
                <w:sz w:val="20"/>
                <w:szCs w:val="20"/>
              </w:rPr>
              <w:t xml:space="preserve">granting of any loan or credit or providing any collateral for securing any obligations other than collateral for securing the Company’s own obligations in the ordinary course of </w:t>
            </w:r>
            <w:proofErr w:type="gramStart"/>
            <w:r w:rsidRPr="00CF66E1">
              <w:rPr>
                <w:rFonts w:ascii="Arial" w:hAnsi="Arial" w:cs="Arial"/>
                <w:sz w:val="20"/>
                <w:szCs w:val="20"/>
              </w:rPr>
              <w:t>business;</w:t>
            </w:r>
            <w:proofErr w:type="gramEnd"/>
          </w:p>
          <w:p w14:paraId="3B73455B" w14:textId="77777777" w:rsidR="00415129" w:rsidRPr="00CF66E1" w:rsidRDefault="00415129" w:rsidP="00105110">
            <w:pPr>
              <w:pStyle w:val="ListParagraph"/>
              <w:numPr>
                <w:ilvl w:val="0"/>
                <w:numId w:val="1"/>
              </w:numPr>
              <w:spacing w:after="120"/>
              <w:ind w:left="459" w:hanging="459"/>
              <w:rPr>
                <w:rFonts w:ascii="Arial" w:hAnsi="Arial" w:cs="Arial"/>
                <w:sz w:val="20"/>
                <w:szCs w:val="20"/>
              </w:rPr>
            </w:pPr>
            <w:r w:rsidRPr="00CF66E1">
              <w:rPr>
                <w:rFonts w:ascii="Arial" w:hAnsi="Arial" w:cs="Arial"/>
                <w:sz w:val="20"/>
                <w:szCs w:val="20"/>
              </w:rPr>
              <w:t>any transfer or granting into of use or other encumbrance of material assets of the Company, including IP or an enterprise (</w:t>
            </w:r>
            <w:proofErr w:type="spellStart"/>
            <w:r w:rsidRPr="00CF66E1">
              <w:rPr>
                <w:rFonts w:ascii="Arial" w:hAnsi="Arial" w:cs="Arial"/>
                <w:sz w:val="20"/>
                <w:szCs w:val="20"/>
              </w:rPr>
              <w:t>ettevõte</w:t>
            </w:r>
            <w:proofErr w:type="spellEnd"/>
            <w:r w:rsidRPr="00CF66E1">
              <w:rPr>
                <w:rFonts w:ascii="Arial" w:hAnsi="Arial" w:cs="Arial"/>
                <w:sz w:val="20"/>
                <w:szCs w:val="20"/>
              </w:rPr>
              <w:t xml:space="preserve">) or the organizationally independent part thereof, other than entering into non-exclusive licenses in the ordinary course of </w:t>
            </w:r>
            <w:proofErr w:type="gramStart"/>
            <w:r w:rsidRPr="00CF66E1">
              <w:rPr>
                <w:rFonts w:ascii="Arial" w:hAnsi="Arial" w:cs="Arial"/>
                <w:sz w:val="20"/>
                <w:szCs w:val="20"/>
              </w:rPr>
              <w:t>business;</w:t>
            </w:r>
            <w:proofErr w:type="gramEnd"/>
          </w:p>
          <w:p w14:paraId="50389AEF" w14:textId="77777777" w:rsidR="00415129" w:rsidRPr="00CF66E1" w:rsidRDefault="00415129" w:rsidP="00105110">
            <w:pPr>
              <w:pStyle w:val="ListParagraph"/>
              <w:numPr>
                <w:ilvl w:val="0"/>
                <w:numId w:val="1"/>
              </w:numPr>
              <w:spacing w:after="120"/>
              <w:ind w:left="459" w:hanging="459"/>
              <w:rPr>
                <w:rFonts w:ascii="Arial" w:hAnsi="Arial" w:cs="Arial"/>
                <w:sz w:val="20"/>
                <w:szCs w:val="20"/>
              </w:rPr>
            </w:pPr>
            <w:r w:rsidRPr="00CF66E1">
              <w:rPr>
                <w:rFonts w:ascii="Arial" w:hAnsi="Arial" w:cs="Arial"/>
                <w:sz w:val="20"/>
                <w:szCs w:val="20"/>
              </w:rPr>
              <w:t>entry into transaction or series of related transactions by the Company if the value of such transaction exceeds [</w:t>
            </w:r>
            <w:r w:rsidRPr="00CF66E1">
              <w:rPr>
                <w:rFonts w:ascii="Arial" w:hAnsi="Arial" w:cs="Arial"/>
                <w:i/>
                <w:sz w:val="20"/>
                <w:szCs w:val="20"/>
                <w:highlight w:val="yellow"/>
              </w:rPr>
              <w:t>insert amount</w:t>
            </w:r>
            <w:r w:rsidRPr="00CF66E1">
              <w:rPr>
                <w:rFonts w:ascii="Arial" w:hAnsi="Arial" w:cs="Arial"/>
                <w:sz w:val="20"/>
                <w:szCs w:val="20"/>
              </w:rPr>
              <w:t xml:space="preserve">] EUR per transaction or in aggregate per one (1) calendar year. </w:t>
            </w:r>
          </w:p>
        </w:tc>
      </w:tr>
      <w:tr w:rsidR="00415129" w:rsidRPr="00CF66E1" w14:paraId="20AA13AE" w14:textId="77777777" w:rsidTr="00105110">
        <w:tc>
          <w:tcPr>
            <w:tcW w:w="2410" w:type="dxa"/>
          </w:tcPr>
          <w:p w14:paraId="6374BD6F"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lang w:val="en-US"/>
              </w:rPr>
              <w:t xml:space="preserve">Restrictions of the Founders </w:t>
            </w:r>
          </w:p>
        </w:tc>
        <w:tc>
          <w:tcPr>
            <w:tcW w:w="7118" w:type="dxa"/>
            <w:gridSpan w:val="2"/>
          </w:tcPr>
          <w:p w14:paraId="10943460" w14:textId="77777777" w:rsidR="00415129" w:rsidRPr="00CF66E1" w:rsidRDefault="00415129" w:rsidP="00105110">
            <w:pPr>
              <w:spacing w:after="120"/>
              <w:rPr>
                <w:rFonts w:ascii="Arial" w:hAnsi="Arial" w:cs="Arial"/>
                <w:sz w:val="20"/>
                <w:szCs w:val="20"/>
                <w:lang w:val="en-US"/>
              </w:rPr>
            </w:pPr>
            <w:r w:rsidRPr="00CF66E1">
              <w:rPr>
                <w:rFonts w:ascii="Arial" w:hAnsi="Arial" w:cs="Arial"/>
                <w:sz w:val="20"/>
                <w:szCs w:val="20"/>
                <w:lang w:val="en-US"/>
              </w:rPr>
              <w:t xml:space="preserve">Founders shall not sell, </w:t>
            </w:r>
            <w:proofErr w:type="gramStart"/>
            <w:r w:rsidRPr="00CF66E1">
              <w:rPr>
                <w:rFonts w:ascii="Arial" w:hAnsi="Arial" w:cs="Arial"/>
                <w:sz w:val="20"/>
                <w:szCs w:val="20"/>
                <w:lang w:val="en-US"/>
              </w:rPr>
              <w:t>transfer</w:t>
            </w:r>
            <w:proofErr w:type="gramEnd"/>
            <w:r w:rsidRPr="00CF66E1">
              <w:rPr>
                <w:rFonts w:ascii="Arial" w:hAnsi="Arial" w:cs="Arial"/>
                <w:sz w:val="20"/>
                <w:szCs w:val="20"/>
                <w:lang w:val="en-US"/>
              </w:rPr>
              <w:t xml:space="preserve"> or otherwise dis</w:t>
            </w:r>
            <w:r w:rsidR="001D7344" w:rsidRPr="00CF66E1">
              <w:rPr>
                <w:rFonts w:ascii="Arial" w:hAnsi="Arial" w:cs="Arial"/>
                <w:sz w:val="20"/>
                <w:szCs w:val="20"/>
                <w:lang w:val="en-US"/>
              </w:rPr>
              <w:t>pose or encumber their shares in</w:t>
            </w:r>
            <w:r w:rsidRPr="00CF66E1">
              <w:rPr>
                <w:rFonts w:ascii="Arial" w:hAnsi="Arial" w:cs="Arial"/>
                <w:sz w:val="20"/>
                <w:szCs w:val="20"/>
                <w:lang w:val="en-US"/>
              </w:rPr>
              <w:t xml:space="preserve"> the Company before the Conversion Date, without prior written consent of the Requisite Investors.</w:t>
            </w:r>
          </w:p>
        </w:tc>
      </w:tr>
      <w:tr w:rsidR="00415129" w:rsidRPr="00CF66E1" w14:paraId="300553E5" w14:textId="77777777" w:rsidTr="00105110">
        <w:tc>
          <w:tcPr>
            <w:tcW w:w="2410" w:type="dxa"/>
          </w:tcPr>
          <w:p w14:paraId="37C1B4A8"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Information Rights</w:t>
            </w:r>
          </w:p>
        </w:tc>
        <w:tc>
          <w:tcPr>
            <w:tcW w:w="7118" w:type="dxa"/>
            <w:gridSpan w:val="2"/>
          </w:tcPr>
          <w:p w14:paraId="1D3C5E96"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The Investors are entitled to receive from the Company: (</w:t>
            </w:r>
            <w:proofErr w:type="spellStart"/>
            <w:r w:rsidRPr="00CF66E1">
              <w:rPr>
                <w:rFonts w:ascii="Arial" w:hAnsi="Arial" w:cs="Arial"/>
                <w:sz w:val="20"/>
                <w:szCs w:val="20"/>
              </w:rPr>
              <w:t>i</w:t>
            </w:r>
            <w:proofErr w:type="spellEnd"/>
            <w:r w:rsidRPr="00CF66E1">
              <w:rPr>
                <w:rFonts w:ascii="Arial" w:hAnsi="Arial" w:cs="Arial"/>
                <w:sz w:val="20"/>
                <w:szCs w:val="20"/>
              </w:rPr>
              <w:t>) quarterly financial reports and (ii) annual reports.</w:t>
            </w:r>
          </w:p>
        </w:tc>
      </w:tr>
      <w:tr w:rsidR="00415129" w:rsidRPr="00CF66E1" w14:paraId="41FD4F3E" w14:textId="77777777" w:rsidTr="00105110">
        <w:tc>
          <w:tcPr>
            <w:tcW w:w="2410" w:type="dxa"/>
          </w:tcPr>
          <w:p w14:paraId="577042E5"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Confidentiality</w:t>
            </w:r>
          </w:p>
        </w:tc>
        <w:tc>
          <w:tcPr>
            <w:tcW w:w="7118" w:type="dxa"/>
            <w:gridSpan w:val="2"/>
          </w:tcPr>
          <w:p w14:paraId="08C328B5"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This Term Sheet and any information about the Company are confidential and are not to be disclosed to third parties, except (</w:t>
            </w:r>
            <w:proofErr w:type="spellStart"/>
            <w:r w:rsidRPr="00CF66E1">
              <w:rPr>
                <w:rFonts w:ascii="Arial" w:hAnsi="Arial" w:cs="Arial"/>
                <w:sz w:val="20"/>
                <w:szCs w:val="20"/>
              </w:rPr>
              <w:t>i</w:t>
            </w:r>
            <w:proofErr w:type="spellEnd"/>
            <w:r w:rsidRPr="00CF66E1">
              <w:rPr>
                <w:rFonts w:ascii="Arial" w:hAnsi="Arial" w:cs="Arial"/>
                <w:sz w:val="20"/>
                <w:szCs w:val="20"/>
              </w:rPr>
              <w:t>) if required by law or (ii) if disclosed to a professional advisor of a party, who has undertaken an obligation to keep the relevant info confidential.</w:t>
            </w:r>
          </w:p>
        </w:tc>
      </w:tr>
      <w:tr w:rsidR="00415129" w:rsidRPr="00CF66E1" w14:paraId="7554FB4F" w14:textId="77777777" w:rsidTr="00105110">
        <w:tc>
          <w:tcPr>
            <w:tcW w:w="2410" w:type="dxa"/>
          </w:tcPr>
          <w:p w14:paraId="2DD5CCCD"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Costs</w:t>
            </w:r>
          </w:p>
        </w:tc>
        <w:tc>
          <w:tcPr>
            <w:tcW w:w="7118" w:type="dxa"/>
            <w:gridSpan w:val="2"/>
          </w:tcPr>
          <w:p w14:paraId="7E1E8EB0"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Each party shall bear its own costs and expenses arising out of or incurred in connection with this Term Sheet.</w:t>
            </w:r>
          </w:p>
        </w:tc>
      </w:tr>
      <w:tr w:rsidR="00415129" w:rsidRPr="00CF66E1" w14:paraId="7462A829" w14:textId="77777777" w:rsidTr="00105110">
        <w:tc>
          <w:tcPr>
            <w:tcW w:w="2410" w:type="dxa"/>
          </w:tcPr>
          <w:p w14:paraId="5839EBD3"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Applicable Law</w:t>
            </w:r>
          </w:p>
        </w:tc>
        <w:tc>
          <w:tcPr>
            <w:tcW w:w="7118" w:type="dxa"/>
            <w:gridSpan w:val="2"/>
          </w:tcPr>
          <w:p w14:paraId="4118EDAC"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This Term Sheet shall be governed and construed in accordance with the laws of Estonia, except the conflict of laws rule.</w:t>
            </w:r>
          </w:p>
        </w:tc>
      </w:tr>
      <w:tr w:rsidR="00415129" w:rsidRPr="00CF66E1" w14:paraId="6D0BD3A8" w14:textId="77777777" w:rsidTr="00105110">
        <w:tc>
          <w:tcPr>
            <w:tcW w:w="2410" w:type="dxa"/>
          </w:tcPr>
          <w:p w14:paraId="07DA3472"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Dispute Resolution</w:t>
            </w:r>
          </w:p>
        </w:tc>
        <w:tc>
          <w:tcPr>
            <w:tcW w:w="7118" w:type="dxa"/>
            <w:gridSpan w:val="2"/>
          </w:tcPr>
          <w:p w14:paraId="591A9D27"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Any dispute, controversy or claim arising out of or in connection with this Term Sheet shall be resolved by Harju County Court in Tallinn, Estonia.</w:t>
            </w:r>
          </w:p>
        </w:tc>
      </w:tr>
      <w:tr w:rsidR="00415129" w:rsidRPr="00CF66E1" w14:paraId="6363DB7D" w14:textId="77777777" w:rsidTr="00105110">
        <w:trPr>
          <w:trHeight w:val="574"/>
        </w:trPr>
        <w:tc>
          <w:tcPr>
            <w:tcW w:w="2410" w:type="dxa"/>
          </w:tcPr>
          <w:p w14:paraId="79C3C2D9" w14:textId="77777777" w:rsidR="00415129" w:rsidRPr="00CF66E1" w:rsidRDefault="00415129" w:rsidP="00105110">
            <w:pPr>
              <w:spacing w:after="120"/>
              <w:jc w:val="left"/>
              <w:rPr>
                <w:rFonts w:ascii="Arial" w:hAnsi="Arial" w:cs="Arial"/>
                <w:b/>
                <w:sz w:val="20"/>
                <w:szCs w:val="20"/>
              </w:rPr>
            </w:pPr>
            <w:r w:rsidRPr="00CF66E1">
              <w:rPr>
                <w:rFonts w:ascii="Arial" w:hAnsi="Arial" w:cs="Arial"/>
                <w:b/>
                <w:sz w:val="20"/>
                <w:szCs w:val="20"/>
              </w:rPr>
              <w:t>Non-binding Effect</w:t>
            </w:r>
          </w:p>
        </w:tc>
        <w:tc>
          <w:tcPr>
            <w:tcW w:w="7118" w:type="dxa"/>
            <w:gridSpan w:val="2"/>
          </w:tcPr>
          <w:p w14:paraId="6616F18C" w14:textId="77777777" w:rsidR="00415129" w:rsidRPr="00CF66E1" w:rsidRDefault="00415129" w:rsidP="00105110">
            <w:pPr>
              <w:spacing w:after="120"/>
              <w:rPr>
                <w:rFonts w:ascii="Arial" w:hAnsi="Arial" w:cs="Arial"/>
                <w:sz w:val="20"/>
                <w:szCs w:val="20"/>
              </w:rPr>
            </w:pPr>
            <w:r w:rsidRPr="00CF66E1">
              <w:rPr>
                <w:rFonts w:ascii="Arial" w:hAnsi="Arial" w:cs="Arial"/>
                <w:sz w:val="20"/>
                <w:szCs w:val="20"/>
              </w:rPr>
              <w:t>This Term Sheet is intended solely as a basis for further discussion and does not constitute any legally binding obligation except for the sections “Confidentiality”, “Costs”, “Applicable Law” and “Dispute Resolution” which are intended to be legally binding on the parties.</w:t>
            </w:r>
          </w:p>
          <w:p w14:paraId="193D654C" w14:textId="77777777" w:rsidR="00415129" w:rsidRPr="00CF66E1" w:rsidRDefault="00415129" w:rsidP="00105110">
            <w:pPr>
              <w:spacing w:after="120"/>
              <w:rPr>
                <w:rFonts w:ascii="Arial" w:hAnsi="Arial" w:cs="Arial"/>
                <w:sz w:val="20"/>
                <w:szCs w:val="20"/>
              </w:rPr>
            </w:pPr>
          </w:p>
        </w:tc>
      </w:tr>
    </w:tbl>
    <w:p w14:paraId="08E8442C" w14:textId="77777777" w:rsidR="00415129" w:rsidRPr="00CF66E1" w:rsidRDefault="00415129" w:rsidP="00415129">
      <w:pPr>
        <w:rPr>
          <w:rFonts w:ascii="Arial" w:hAnsi="Arial" w:cs="Arial"/>
          <w:sz w:val="20"/>
          <w:szCs w:val="20"/>
        </w:rPr>
      </w:pPr>
      <w:r w:rsidRPr="00CF66E1">
        <w:rPr>
          <w:rFonts w:ascii="Arial" w:hAnsi="Arial" w:cs="Arial"/>
          <w:sz w:val="20"/>
          <w:szCs w:val="20"/>
        </w:rPr>
        <w:t>/</w:t>
      </w:r>
      <w:proofErr w:type="gramStart"/>
      <w:r w:rsidRPr="00CF66E1">
        <w:rPr>
          <w:rFonts w:ascii="Arial" w:hAnsi="Arial" w:cs="Arial"/>
          <w:i/>
          <w:sz w:val="20"/>
          <w:szCs w:val="20"/>
        </w:rPr>
        <w:t>digital</w:t>
      </w:r>
      <w:proofErr w:type="gramEnd"/>
      <w:r w:rsidRPr="00CF66E1">
        <w:rPr>
          <w:rFonts w:ascii="Arial" w:hAnsi="Arial" w:cs="Arial"/>
          <w:i/>
          <w:sz w:val="20"/>
          <w:szCs w:val="20"/>
        </w:rPr>
        <w:t xml:space="preserve"> signature</w:t>
      </w:r>
      <w:r w:rsidRPr="00CF66E1">
        <w:rPr>
          <w:rFonts w:ascii="Arial" w:hAnsi="Arial" w:cs="Arial"/>
          <w:sz w:val="20"/>
          <w:szCs w:val="20"/>
        </w:rPr>
        <w:t>/</w:t>
      </w:r>
      <w:r w:rsidRPr="00CF66E1">
        <w:rPr>
          <w:rFonts w:ascii="Arial" w:hAnsi="Arial" w:cs="Arial"/>
          <w:sz w:val="20"/>
          <w:szCs w:val="20"/>
        </w:rPr>
        <w:tab/>
      </w:r>
      <w:r w:rsidRPr="00CF66E1">
        <w:rPr>
          <w:rFonts w:ascii="Arial" w:hAnsi="Arial" w:cs="Arial"/>
          <w:sz w:val="20"/>
          <w:szCs w:val="20"/>
        </w:rPr>
        <w:tab/>
        <w:t>/</w:t>
      </w:r>
      <w:r w:rsidRPr="00CF66E1">
        <w:rPr>
          <w:rFonts w:ascii="Arial" w:hAnsi="Arial" w:cs="Arial"/>
          <w:i/>
          <w:sz w:val="20"/>
          <w:szCs w:val="20"/>
        </w:rPr>
        <w:t>digital signature</w:t>
      </w:r>
      <w:r w:rsidRPr="00CF66E1">
        <w:rPr>
          <w:rFonts w:ascii="Arial" w:hAnsi="Arial" w:cs="Arial"/>
          <w:sz w:val="20"/>
          <w:szCs w:val="20"/>
        </w:rPr>
        <w:t>/</w:t>
      </w:r>
      <w:r w:rsidRPr="00CF66E1">
        <w:rPr>
          <w:rFonts w:ascii="Arial" w:hAnsi="Arial" w:cs="Arial"/>
          <w:sz w:val="20"/>
          <w:szCs w:val="20"/>
        </w:rPr>
        <w:tab/>
      </w:r>
      <w:r w:rsidRPr="00CF66E1">
        <w:rPr>
          <w:rFonts w:ascii="Arial" w:hAnsi="Arial" w:cs="Arial"/>
          <w:sz w:val="20"/>
          <w:szCs w:val="20"/>
        </w:rPr>
        <w:tab/>
        <w:t>/</w:t>
      </w:r>
      <w:r w:rsidRPr="00CF66E1">
        <w:rPr>
          <w:rFonts w:ascii="Arial" w:hAnsi="Arial" w:cs="Arial"/>
          <w:i/>
          <w:sz w:val="20"/>
          <w:szCs w:val="20"/>
        </w:rPr>
        <w:t>digital signature</w:t>
      </w:r>
      <w:r w:rsidRPr="00CF66E1">
        <w:rPr>
          <w:rFonts w:ascii="Arial" w:hAnsi="Arial" w:cs="Arial"/>
          <w:sz w:val="20"/>
          <w:szCs w:val="20"/>
        </w:rPr>
        <w:t>/</w:t>
      </w:r>
    </w:p>
    <w:p w14:paraId="518C05D4" w14:textId="77777777" w:rsidR="00415129" w:rsidRPr="00CF66E1" w:rsidRDefault="00415129" w:rsidP="00415129">
      <w:pPr>
        <w:jc w:val="left"/>
        <w:rPr>
          <w:rFonts w:ascii="Arial" w:hAnsi="Arial" w:cs="Arial"/>
          <w:sz w:val="20"/>
          <w:szCs w:val="20"/>
        </w:rPr>
      </w:pPr>
      <w:r w:rsidRPr="00CF66E1">
        <w:rPr>
          <w:rFonts w:ascii="Arial" w:hAnsi="Arial" w:cs="Arial"/>
          <w:sz w:val="20"/>
          <w:szCs w:val="20"/>
        </w:rPr>
        <w:t>[</w:t>
      </w:r>
      <w:r w:rsidRPr="00CF66E1">
        <w:rPr>
          <w:rFonts w:ascii="Arial" w:hAnsi="Arial" w:cs="Arial"/>
          <w:i/>
          <w:sz w:val="20"/>
          <w:szCs w:val="20"/>
          <w:highlight w:val="yellow"/>
        </w:rPr>
        <w:t>full name of Founder 1</w:t>
      </w:r>
      <w:r w:rsidRPr="00CF66E1">
        <w:rPr>
          <w:rFonts w:ascii="Arial" w:hAnsi="Arial" w:cs="Arial"/>
          <w:sz w:val="20"/>
          <w:szCs w:val="20"/>
        </w:rPr>
        <w:t>]</w:t>
      </w:r>
      <w:r w:rsidRPr="00CF66E1">
        <w:rPr>
          <w:rFonts w:ascii="Arial" w:hAnsi="Arial" w:cs="Arial"/>
          <w:sz w:val="20"/>
          <w:szCs w:val="20"/>
        </w:rPr>
        <w:tab/>
        <w:t>[</w:t>
      </w:r>
      <w:r w:rsidRPr="00CF66E1">
        <w:rPr>
          <w:rFonts w:ascii="Arial" w:hAnsi="Arial" w:cs="Arial"/>
          <w:i/>
          <w:sz w:val="20"/>
          <w:szCs w:val="20"/>
          <w:highlight w:val="yellow"/>
        </w:rPr>
        <w:t>full name of Founder 2</w:t>
      </w:r>
      <w:r w:rsidRPr="00CF66E1">
        <w:rPr>
          <w:rFonts w:ascii="Arial" w:hAnsi="Arial" w:cs="Arial"/>
          <w:sz w:val="20"/>
          <w:szCs w:val="20"/>
        </w:rPr>
        <w:t>]</w:t>
      </w:r>
      <w:r w:rsidRPr="00CF66E1">
        <w:rPr>
          <w:rFonts w:ascii="Arial" w:hAnsi="Arial" w:cs="Arial"/>
          <w:sz w:val="20"/>
          <w:szCs w:val="20"/>
        </w:rPr>
        <w:tab/>
        <w:t>[</w:t>
      </w:r>
      <w:r w:rsidRPr="00CF66E1">
        <w:rPr>
          <w:rFonts w:ascii="Arial" w:hAnsi="Arial" w:cs="Arial"/>
          <w:i/>
          <w:sz w:val="20"/>
          <w:szCs w:val="20"/>
          <w:highlight w:val="yellow"/>
        </w:rPr>
        <w:t>full name of Founder 3</w:t>
      </w:r>
      <w:r w:rsidRPr="00CF66E1">
        <w:rPr>
          <w:rFonts w:ascii="Arial" w:hAnsi="Arial" w:cs="Arial"/>
          <w:sz w:val="20"/>
          <w:szCs w:val="20"/>
        </w:rPr>
        <w:t>]</w:t>
      </w:r>
    </w:p>
    <w:p w14:paraId="03C8788D" w14:textId="77777777" w:rsidR="00415129" w:rsidRPr="00CF66E1" w:rsidRDefault="00415129" w:rsidP="00415129">
      <w:pPr>
        <w:jc w:val="left"/>
        <w:rPr>
          <w:rFonts w:ascii="Arial" w:hAnsi="Arial" w:cs="Arial"/>
          <w:sz w:val="20"/>
          <w:szCs w:val="20"/>
        </w:rPr>
      </w:pPr>
    </w:p>
    <w:p w14:paraId="3CC5673B" w14:textId="77777777" w:rsidR="00415129" w:rsidRPr="00CF66E1" w:rsidRDefault="00415129" w:rsidP="00415129">
      <w:pPr>
        <w:jc w:val="left"/>
        <w:rPr>
          <w:rFonts w:ascii="Arial" w:hAnsi="Arial" w:cs="Arial"/>
          <w:sz w:val="20"/>
          <w:szCs w:val="20"/>
        </w:rPr>
      </w:pPr>
      <w:r w:rsidRPr="00CF66E1">
        <w:rPr>
          <w:rFonts w:ascii="Arial" w:hAnsi="Arial" w:cs="Arial"/>
          <w:sz w:val="20"/>
          <w:szCs w:val="20"/>
        </w:rPr>
        <w:t>/</w:t>
      </w:r>
      <w:proofErr w:type="gramStart"/>
      <w:r w:rsidRPr="00CF66E1">
        <w:rPr>
          <w:rFonts w:ascii="Arial" w:hAnsi="Arial" w:cs="Arial"/>
          <w:i/>
          <w:sz w:val="20"/>
          <w:szCs w:val="20"/>
        </w:rPr>
        <w:t>digital</w:t>
      </w:r>
      <w:proofErr w:type="gramEnd"/>
      <w:r w:rsidRPr="00CF66E1">
        <w:rPr>
          <w:rFonts w:ascii="Arial" w:hAnsi="Arial" w:cs="Arial"/>
          <w:i/>
          <w:sz w:val="20"/>
          <w:szCs w:val="20"/>
        </w:rPr>
        <w:t xml:space="preserve"> signature</w:t>
      </w:r>
      <w:r w:rsidRPr="00CF66E1">
        <w:rPr>
          <w:rFonts w:ascii="Arial" w:hAnsi="Arial" w:cs="Arial"/>
          <w:sz w:val="20"/>
          <w:szCs w:val="20"/>
        </w:rPr>
        <w:t>/</w:t>
      </w:r>
      <w:r w:rsidRPr="00CF66E1">
        <w:rPr>
          <w:rFonts w:ascii="Arial" w:hAnsi="Arial" w:cs="Arial"/>
          <w:sz w:val="20"/>
          <w:szCs w:val="20"/>
        </w:rPr>
        <w:tab/>
      </w:r>
      <w:r w:rsidRPr="00CF66E1">
        <w:rPr>
          <w:rFonts w:ascii="Arial" w:hAnsi="Arial" w:cs="Arial"/>
          <w:sz w:val="20"/>
          <w:szCs w:val="20"/>
        </w:rPr>
        <w:tab/>
        <w:t>/</w:t>
      </w:r>
      <w:r w:rsidRPr="00CF66E1">
        <w:rPr>
          <w:rFonts w:ascii="Arial" w:hAnsi="Arial" w:cs="Arial"/>
          <w:i/>
          <w:sz w:val="20"/>
          <w:szCs w:val="20"/>
        </w:rPr>
        <w:t>digital signature</w:t>
      </w:r>
      <w:r w:rsidRPr="00CF66E1">
        <w:rPr>
          <w:rFonts w:ascii="Arial" w:hAnsi="Arial" w:cs="Arial"/>
          <w:sz w:val="20"/>
          <w:szCs w:val="20"/>
        </w:rPr>
        <w:t>/</w:t>
      </w:r>
      <w:r w:rsidRPr="00CF66E1">
        <w:rPr>
          <w:rFonts w:ascii="Arial" w:hAnsi="Arial" w:cs="Arial"/>
          <w:sz w:val="20"/>
          <w:szCs w:val="20"/>
        </w:rPr>
        <w:tab/>
      </w:r>
      <w:r w:rsidRPr="00CF66E1">
        <w:rPr>
          <w:rFonts w:ascii="Arial" w:hAnsi="Arial" w:cs="Arial"/>
          <w:sz w:val="20"/>
          <w:szCs w:val="20"/>
        </w:rPr>
        <w:tab/>
        <w:t>/</w:t>
      </w:r>
      <w:r w:rsidRPr="00CF66E1">
        <w:rPr>
          <w:rFonts w:ascii="Arial" w:hAnsi="Arial" w:cs="Arial"/>
          <w:i/>
          <w:sz w:val="20"/>
          <w:szCs w:val="20"/>
        </w:rPr>
        <w:t>digital signature</w:t>
      </w:r>
      <w:r w:rsidRPr="00CF66E1">
        <w:rPr>
          <w:rFonts w:ascii="Arial" w:hAnsi="Arial" w:cs="Arial"/>
          <w:sz w:val="20"/>
          <w:szCs w:val="20"/>
        </w:rPr>
        <w:t>/</w:t>
      </w:r>
    </w:p>
    <w:p w14:paraId="7C160A23" w14:textId="77777777" w:rsidR="00415129" w:rsidRPr="00CF66E1" w:rsidRDefault="00415129" w:rsidP="00415129">
      <w:pPr>
        <w:jc w:val="left"/>
        <w:rPr>
          <w:rFonts w:ascii="Arial" w:hAnsi="Arial" w:cs="Arial"/>
          <w:sz w:val="20"/>
          <w:szCs w:val="20"/>
        </w:rPr>
      </w:pPr>
      <w:r w:rsidRPr="00CF66E1">
        <w:rPr>
          <w:rFonts w:ascii="Arial" w:hAnsi="Arial" w:cs="Arial"/>
          <w:sz w:val="20"/>
          <w:szCs w:val="20"/>
        </w:rPr>
        <w:t>[</w:t>
      </w:r>
      <w:r w:rsidRPr="00CF66E1">
        <w:rPr>
          <w:rFonts w:ascii="Arial" w:hAnsi="Arial" w:cs="Arial"/>
          <w:i/>
          <w:sz w:val="20"/>
          <w:szCs w:val="20"/>
          <w:highlight w:val="yellow"/>
        </w:rPr>
        <w:t>name of the board member</w:t>
      </w:r>
      <w:r w:rsidRPr="00CF66E1">
        <w:rPr>
          <w:rFonts w:ascii="Arial" w:hAnsi="Arial" w:cs="Arial"/>
          <w:sz w:val="20"/>
          <w:szCs w:val="20"/>
        </w:rPr>
        <w:t>]</w:t>
      </w:r>
      <w:r w:rsidRPr="00CF66E1">
        <w:rPr>
          <w:rFonts w:ascii="Arial" w:hAnsi="Arial" w:cs="Arial"/>
          <w:sz w:val="20"/>
          <w:szCs w:val="20"/>
        </w:rPr>
        <w:tab/>
        <w:t>[</w:t>
      </w:r>
      <w:r w:rsidRPr="00CF66E1">
        <w:rPr>
          <w:rFonts w:ascii="Arial" w:hAnsi="Arial" w:cs="Arial"/>
          <w:i/>
          <w:sz w:val="20"/>
          <w:szCs w:val="20"/>
          <w:highlight w:val="yellow"/>
        </w:rPr>
        <w:t>name of the board member</w:t>
      </w:r>
      <w:r w:rsidRPr="00CF66E1">
        <w:rPr>
          <w:rFonts w:ascii="Arial" w:hAnsi="Arial" w:cs="Arial"/>
          <w:sz w:val="20"/>
          <w:szCs w:val="20"/>
        </w:rPr>
        <w:t>]</w:t>
      </w:r>
      <w:r w:rsidRPr="00CF66E1">
        <w:rPr>
          <w:rFonts w:ascii="Arial" w:hAnsi="Arial" w:cs="Arial"/>
          <w:sz w:val="20"/>
          <w:szCs w:val="20"/>
        </w:rPr>
        <w:tab/>
        <w:t>[</w:t>
      </w:r>
      <w:r w:rsidRPr="00CF66E1">
        <w:rPr>
          <w:rFonts w:ascii="Arial" w:hAnsi="Arial" w:cs="Arial"/>
          <w:i/>
          <w:sz w:val="20"/>
          <w:szCs w:val="20"/>
          <w:highlight w:val="yellow"/>
        </w:rPr>
        <w:t>name of the board member</w:t>
      </w:r>
      <w:r w:rsidRPr="00CF66E1">
        <w:rPr>
          <w:rFonts w:ascii="Arial" w:hAnsi="Arial" w:cs="Arial"/>
          <w:sz w:val="20"/>
          <w:szCs w:val="20"/>
        </w:rPr>
        <w:t>]</w:t>
      </w:r>
    </w:p>
    <w:p w14:paraId="748FDA65" w14:textId="77777777" w:rsidR="00415129" w:rsidRPr="00CF66E1" w:rsidRDefault="00415129" w:rsidP="00415129">
      <w:pPr>
        <w:jc w:val="left"/>
        <w:rPr>
          <w:rFonts w:ascii="Arial" w:hAnsi="Arial" w:cs="Arial"/>
          <w:sz w:val="20"/>
          <w:szCs w:val="20"/>
        </w:rPr>
      </w:pPr>
      <w:r w:rsidRPr="00CF66E1">
        <w:rPr>
          <w:rFonts w:ascii="Arial" w:hAnsi="Arial" w:cs="Arial"/>
          <w:sz w:val="20"/>
          <w:szCs w:val="20"/>
        </w:rPr>
        <w:lastRenderedPageBreak/>
        <w:t>[</w:t>
      </w:r>
      <w:r w:rsidRPr="00CF66E1">
        <w:rPr>
          <w:rFonts w:ascii="Arial" w:hAnsi="Arial" w:cs="Arial"/>
          <w:i/>
          <w:sz w:val="20"/>
          <w:szCs w:val="20"/>
          <w:highlight w:val="yellow"/>
        </w:rPr>
        <w:t>name of the Company</w:t>
      </w:r>
      <w:r w:rsidRPr="00CF66E1">
        <w:rPr>
          <w:rFonts w:ascii="Arial" w:hAnsi="Arial" w:cs="Arial"/>
          <w:sz w:val="20"/>
          <w:szCs w:val="20"/>
        </w:rPr>
        <w:t>]</w:t>
      </w:r>
      <w:r w:rsidRPr="00CF66E1">
        <w:rPr>
          <w:rFonts w:ascii="Arial" w:hAnsi="Arial" w:cs="Arial"/>
          <w:sz w:val="20"/>
          <w:szCs w:val="20"/>
        </w:rPr>
        <w:tab/>
      </w:r>
      <w:r w:rsidRPr="00CF66E1">
        <w:rPr>
          <w:rFonts w:ascii="Arial" w:hAnsi="Arial" w:cs="Arial"/>
          <w:sz w:val="20"/>
          <w:szCs w:val="20"/>
        </w:rPr>
        <w:tab/>
        <w:t>[</w:t>
      </w:r>
      <w:r w:rsidRPr="00CF66E1">
        <w:rPr>
          <w:rFonts w:ascii="Arial" w:hAnsi="Arial" w:cs="Arial"/>
          <w:i/>
          <w:sz w:val="20"/>
          <w:szCs w:val="20"/>
          <w:highlight w:val="yellow"/>
        </w:rPr>
        <w:t>name of Investor 1</w:t>
      </w:r>
      <w:r w:rsidRPr="00CF66E1">
        <w:rPr>
          <w:rFonts w:ascii="Arial" w:hAnsi="Arial" w:cs="Arial"/>
          <w:sz w:val="20"/>
          <w:szCs w:val="20"/>
        </w:rPr>
        <w:t>]</w:t>
      </w:r>
      <w:r w:rsidRPr="00CF66E1">
        <w:rPr>
          <w:rFonts w:ascii="Arial" w:hAnsi="Arial" w:cs="Arial"/>
          <w:sz w:val="20"/>
          <w:szCs w:val="20"/>
        </w:rPr>
        <w:tab/>
      </w:r>
      <w:r w:rsidRPr="00CF66E1">
        <w:rPr>
          <w:rFonts w:ascii="Arial" w:hAnsi="Arial" w:cs="Arial"/>
          <w:sz w:val="20"/>
          <w:szCs w:val="20"/>
        </w:rPr>
        <w:tab/>
        <w:t>[</w:t>
      </w:r>
      <w:r w:rsidRPr="00CF66E1">
        <w:rPr>
          <w:rFonts w:ascii="Arial" w:hAnsi="Arial" w:cs="Arial"/>
          <w:i/>
          <w:sz w:val="20"/>
          <w:szCs w:val="20"/>
          <w:highlight w:val="yellow"/>
        </w:rPr>
        <w:t>name of Investor 2</w:t>
      </w:r>
      <w:r w:rsidRPr="00CF66E1">
        <w:rPr>
          <w:rFonts w:ascii="Arial" w:hAnsi="Arial" w:cs="Arial"/>
          <w:sz w:val="20"/>
          <w:szCs w:val="20"/>
        </w:rPr>
        <w:t>]</w:t>
      </w:r>
    </w:p>
    <w:p w14:paraId="4DBA544B" w14:textId="77777777" w:rsidR="00415129" w:rsidRPr="00CF66E1" w:rsidRDefault="00415129" w:rsidP="00415129">
      <w:pPr>
        <w:jc w:val="left"/>
        <w:rPr>
          <w:rFonts w:ascii="Arial" w:hAnsi="Arial" w:cs="Arial"/>
          <w:sz w:val="20"/>
          <w:szCs w:val="20"/>
        </w:rPr>
      </w:pPr>
    </w:p>
    <w:p w14:paraId="0040A7FA" w14:textId="77777777" w:rsidR="00415129" w:rsidRPr="00CF66E1" w:rsidRDefault="00415129" w:rsidP="00415129">
      <w:pPr>
        <w:jc w:val="left"/>
        <w:rPr>
          <w:rFonts w:ascii="Arial" w:hAnsi="Arial" w:cs="Arial"/>
          <w:sz w:val="20"/>
          <w:szCs w:val="20"/>
        </w:rPr>
      </w:pPr>
      <w:r w:rsidRPr="00CF66E1">
        <w:rPr>
          <w:rFonts w:ascii="Arial" w:hAnsi="Arial" w:cs="Arial"/>
          <w:sz w:val="20"/>
          <w:szCs w:val="20"/>
        </w:rPr>
        <w:t>/</w:t>
      </w:r>
      <w:proofErr w:type="gramStart"/>
      <w:r w:rsidRPr="00CF66E1">
        <w:rPr>
          <w:rFonts w:ascii="Arial" w:hAnsi="Arial" w:cs="Arial"/>
          <w:i/>
          <w:sz w:val="20"/>
          <w:szCs w:val="20"/>
        </w:rPr>
        <w:t>digital</w:t>
      </w:r>
      <w:proofErr w:type="gramEnd"/>
      <w:r w:rsidRPr="00CF66E1">
        <w:rPr>
          <w:rFonts w:ascii="Arial" w:hAnsi="Arial" w:cs="Arial"/>
          <w:i/>
          <w:sz w:val="20"/>
          <w:szCs w:val="20"/>
        </w:rPr>
        <w:t xml:space="preserve"> signature</w:t>
      </w:r>
      <w:r w:rsidRPr="00CF66E1">
        <w:rPr>
          <w:rFonts w:ascii="Arial" w:hAnsi="Arial" w:cs="Arial"/>
          <w:sz w:val="20"/>
          <w:szCs w:val="20"/>
        </w:rPr>
        <w:t>/</w:t>
      </w:r>
    </w:p>
    <w:p w14:paraId="4B78D66B" w14:textId="77777777" w:rsidR="00415129" w:rsidRPr="00CF66E1" w:rsidRDefault="00415129" w:rsidP="00415129">
      <w:pPr>
        <w:jc w:val="left"/>
        <w:rPr>
          <w:rFonts w:ascii="Arial" w:hAnsi="Arial" w:cs="Arial"/>
          <w:sz w:val="20"/>
          <w:szCs w:val="20"/>
        </w:rPr>
      </w:pPr>
      <w:r w:rsidRPr="00CF66E1">
        <w:rPr>
          <w:rFonts w:ascii="Arial" w:hAnsi="Arial" w:cs="Arial"/>
          <w:sz w:val="20"/>
          <w:szCs w:val="20"/>
        </w:rPr>
        <w:t>[</w:t>
      </w:r>
      <w:r w:rsidRPr="00CF66E1">
        <w:rPr>
          <w:rFonts w:ascii="Arial" w:hAnsi="Arial" w:cs="Arial"/>
          <w:i/>
          <w:sz w:val="20"/>
          <w:szCs w:val="20"/>
          <w:highlight w:val="yellow"/>
        </w:rPr>
        <w:t>name of the board member</w:t>
      </w:r>
      <w:r w:rsidRPr="00CF66E1">
        <w:rPr>
          <w:rFonts w:ascii="Arial" w:hAnsi="Arial" w:cs="Arial"/>
          <w:sz w:val="20"/>
          <w:szCs w:val="20"/>
        </w:rPr>
        <w:t>]</w:t>
      </w:r>
    </w:p>
    <w:p w14:paraId="75C6B457" w14:textId="77777777" w:rsidR="00415129" w:rsidRPr="00CF66E1" w:rsidRDefault="00415129" w:rsidP="00415129">
      <w:pPr>
        <w:jc w:val="left"/>
        <w:rPr>
          <w:rFonts w:ascii="Arial" w:hAnsi="Arial" w:cs="Arial"/>
          <w:sz w:val="20"/>
          <w:szCs w:val="20"/>
        </w:rPr>
      </w:pPr>
      <w:r w:rsidRPr="00CF66E1">
        <w:rPr>
          <w:rFonts w:ascii="Arial" w:hAnsi="Arial" w:cs="Arial"/>
          <w:sz w:val="20"/>
          <w:szCs w:val="20"/>
        </w:rPr>
        <w:t>[</w:t>
      </w:r>
      <w:r w:rsidRPr="00CF66E1">
        <w:rPr>
          <w:rFonts w:ascii="Arial" w:hAnsi="Arial" w:cs="Arial"/>
          <w:i/>
          <w:sz w:val="20"/>
          <w:szCs w:val="20"/>
          <w:highlight w:val="yellow"/>
        </w:rPr>
        <w:t>name of Investor 3</w:t>
      </w:r>
      <w:r w:rsidRPr="00CF66E1">
        <w:rPr>
          <w:rFonts w:ascii="Arial" w:hAnsi="Arial" w:cs="Arial"/>
          <w:sz w:val="20"/>
          <w:szCs w:val="20"/>
        </w:rPr>
        <w:t>]</w:t>
      </w:r>
    </w:p>
    <w:p w14:paraId="6301644A" w14:textId="77777777" w:rsidR="00415129" w:rsidRPr="00CF66E1" w:rsidRDefault="00415129" w:rsidP="00415129">
      <w:pPr>
        <w:spacing w:after="120"/>
        <w:rPr>
          <w:rFonts w:ascii="Arial" w:hAnsi="Arial" w:cs="Arial"/>
          <w:sz w:val="20"/>
          <w:szCs w:val="20"/>
        </w:rPr>
      </w:pPr>
    </w:p>
    <w:p w14:paraId="4771604C" w14:textId="77777777" w:rsidR="00240041" w:rsidRPr="00CF66E1" w:rsidRDefault="00240041">
      <w:pPr>
        <w:rPr>
          <w:rFonts w:ascii="Arial" w:hAnsi="Arial" w:cs="Arial"/>
          <w:sz w:val="20"/>
          <w:szCs w:val="20"/>
        </w:rPr>
      </w:pPr>
    </w:p>
    <w:sectPr w:rsidR="00240041" w:rsidRPr="00CF66E1" w:rsidSect="0039289D">
      <w:head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5CBF" w14:textId="77777777" w:rsidR="006F2CC9" w:rsidRDefault="006F2CC9" w:rsidP="00D25F8E">
      <w:r>
        <w:separator/>
      </w:r>
    </w:p>
  </w:endnote>
  <w:endnote w:type="continuationSeparator" w:id="0">
    <w:p w14:paraId="25F07CDA" w14:textId="77777777" w:rsidR="006F2CC9" w:rsidRDefault="006F2CC9" w:rsidP="00D2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D4B3" w14:textId="77777777" w:rsidR="006F2CC9" w:rsidRDefault="006F2CC9" w:rsidP="00D25F8E">
      <w:r>
        <w:separator/>
      </w:r>
    </w:p>
  </w:footnote>
  <w:footnote w:type="continuationSeparator" w:id="0">
    <w:p w14:paraId="154B49BE" w14:textId="77777777" w:rsidR="006F2CC9" w:rsidRDefault="006F2CC9" w:rsidP="00D2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13D9" w14:textId="77777777" w:rsidR="00D04D60" w:rsidRDefault="00000000" w:rsidP="0039289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A95D" w14:textId="77777777" w:rsidR="00D04D60" w:rsidRDefault="00415129" w:rsidP="0039289D">
    <w:pPr>
      <w:pStyle w:val="Header"/>
      <w:jc w:val="center"/>
    </w:pPr>
    <w:r w:rsidRPr="00F94BE6">
      <w:rPr>
        <w:noProof/>
        <w:lang w:val="et-EE" w:eastAsia="et-EE"/>
      </w:rPr>
      <w:drawing>
        <wp:inline distT="0" distB="0" distL="0" distR="0" wp14:anchorId="1EA5D0BF" wp14:editId="5A45E1BD">
          <wp:extent cx="2352675" cy="333503"/>
          <wp:effectExtent l="19050" t="0" r="0" b="0"/>
          <wp:docPr id="2" name="Picture 1" descr="hl-logo-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logo-light.png"/>
                  <pic:cNvPicPr/>
                </pic:nvPicPr>
                <pic:blipFill>
                  <a:blip r:embed="rId1"/>
                  <a:stretch>
                    <a:fillRect/>
                  </a:stretch>
                </pic:blipFill>
                <pic:spPr>
                  <a:xfrm>
                    <a:off x="0" y="0"/>
                    <a:ext cx="2351897" cy="3333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D7905"/>
    <w:multiLevelType w:val="hybridMultilevel"/>
    <w:tmpl w:val="02BA148E"/>
    <w:lvl w:ilvl="0" w:tplc="7BF61970">
      <w:start w:val="1"/>
      <w:numFmt w:val="lowerLetter"/>
      <w:lvlText w:val="(%1)"/>
      <w:lvlJc w:val="left"/>
      <w:pPr>
        <w:ind w:left="772" w:hanging="360"/>
      </w:pPr>
      <w:rPr>
        <w:rFonts w:hint="default"/>
      </w:rPr>
    </w:lvl>
    <w:lvl w:ilvl="1" w:tplc="04250019" w:tentative="1">
      <w:start w:val="1"/>
      <w:numFmt w:val="lowerLetter"/>
      <w:lvlText w:val="%2."/>
      <w:lvlJc w:val="left"/>
      <w:pPr>
        <w:ind w:left="1492" w:hanging="360"/>
      </w:pPr>
    </w:lvl>
    <w:lvl w:ilvl="2" w:tplc="0425001B" w:tentative="1">
      <w:start w:val="1"/>
      <w:numFmt w:val="lowerRoman"/>
      <w:lvlText w:val="%3."/>
      <w:lvlJc w:val="right"/>
      <w:pPr>
        <w:ind w:left="2212" w:hanging="180"/>
      </w:pPr>
    </w:lvl>
    <w:lvl w:ilvl="3" w:tplc="0425000F" w:tentative="1">
      <w:start w:val="1"/>
      <w:numFmt w:val="decimal"/>
      <w:lvlText w:val="%4."/>
      <w:lvlJc w:val="left"/>
      <w:pPr>
        <w:ind w:left="2932" w:hanging="360"/>
      </w:pPr>
    </w:lvl>
    <w:lvl w:ilvl="4" w:tplc="04250019" w:tentative="1">
      <w:start w:val="1"/>
      <w:numFmt w:val="lowerLetter"/>
      <w:lvlText w:val="%5."/>
      <w:lvlJc w:val="left"/>
      <w:pPr>
        <w:ind w:left="3652" w:hanging="360"/>
      </w:pPr>
    </w:lvl>
    <w:lvl w:ilvl="5" w:tplc="0425001B" w:tentative="1">
      <w:start w:val="1"/>
      <w:numFmt w:val="lowerRoman"/>
      <w:lvlText w:val="%6."/>
      <w:lvlJc w:val="right"/>
      <w:pPr>
        <w:ind w:left="4372" w:hanging="180"/>
      </w:pPr>
    </w:lvl>
    <w:lvl w:ilvl="6" w:tplc="0425000F" w:tentative="1">
      <w:start w:val="1"/>
      <w:numFmt w:val="decimal"/>
      <w:lvlText w:val="%7."/>
      <w:lvlJc w:val="left"/>
      <w:pPr>
        <w:ind w:left="5092" w:hanging="360"/>
      </w:pPr>
    </w:lvl>
    <w:lvl w:ilvl="7" w:tplc="04250019" w:tentative="1">
      <w:start w:val="1"/>
      <w:numFmt w:val="lowerLetter"/>
      <w:lvlText w:val="%8."/>
      <w:lvlJc w:val="left"/>
      <w:pPr>
        <w:ind w:left="5812" w:hanging="360"/>
      </w:pPr>
    </w:lvl>
    <w:lvl w:ilvl="8" w:tplc="0425001B" w:tentative="1">
      <w:start w:val="1"/>
      <w:numFmt w:val="lowerRoman"/>
      <w:lvlText w:val="%9."/>
      <w:lvlJc w:val="right"/>
      <w:pPr>
        <w:ind w:left="6532" w:hanging="180"/>
      </w:pPr>
    </w:lvl>
  </w:abstractNum>
  <w:num w:numId="1" w16cid:durableId="74121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129"/>
    <w:rsid w:val="000327D1"/>
    <w:rsid w:val="000520EB"/>
    <w:rsid w:val="00093FA2"/>
    <w:rsid w:val="000D0B1A"/>
    <w:rsid w:val="00110F25"/>
    <w:rsid w:val="0012781F"/>
    <w:rsid w:val="00136BD6"/>
    <w:rsid w:val="001573CA"/>
    <w:rsid w:val="001639CD"/>
    <w:rsid w:val="00182B7D"/>
    <w:rsid w:val="0019351C"/>
    <w:rsid w:val="0019644C"/>
    <w:rsid w:val="001D7344"/>
    <w:rsid w:val="00240041"/>
    <w:rsid w:val="00256E19"/>
    <w:rsid w:val="00282874"/>
    <w:rsid w:val="00287ADB"/>
    <w:rsid w:val="002975DD"/>
    <w:rsid w:val="002F05BC"/>
    <w:rsid w:val="0030340E"/>
    <w:rsid w:val="003107A8"/>
    <w:rsid w:val="003173A4"/>
    <w:rsid w:val="003211CA"/>
    <w:rsid w:val="003415D8"/>
    <w:rsid w:val="003426B0"/>
    <w:rsid w:val="00376953"/>
    <w:rsid w:val="00394270"/>
    <w:rsid w:val="0040485E"/>
    <w:rsid w:val="00404A61"/>
    <w:rsid w:val="00415129"/>
    <w:rsid w:val="004653ED"/>
    <w:rsid w:val="00465FD0"/>
    <w:rsid w:val="00472C3D"/>
    <w:rsid w:val="00474C6B"/>
    <w:rsid w:val="00484FF5"/>
    <w:rsid w:val="004C173D"/>
    <w:rsid w:val="00525B36"/>
    <w:rsid w:val="00530965"/>
    <w:rsid w:val="00563169"/>
    <w:rsid w:val="00575836"/>
    <w:rsid w:val="005A2AD8"/>
    <w:rsid w:val="005B033F"/>
    <w:rsid w:val="005C79E6"/>
    <w:rsid w:val="005D7511"/>
    <w:rsid w:val="005E5358"/>
    <w:rsid w:val="006411C8"/>
    <w:rsid w:val="00651D5D"/>
    <w:rsid w:val="006B0E75"/>
    <w:rsid w:val="006C368F"/>
    <w:rsid w:val="006F2CC9"/>
    <w:rsid w:val="00737410"/>
    <w:rsid w:val="00781FCB"/>
    <w:rsid w:val="00797E7D"/>
    <w:rsid w:val="007B528E"/>
    <w:rsid w:val="007C6CE2"/>
    <w:rsid w:val="007C758C"/>
    <w:rsid w:val="007D7677"/>
    <w:rsid w:val="00800EC4"/>
    <w:rsid w:val="00823AD9"/>
    <w:rsid w:val="0083199A"/>
    <w:rsid w:val="0086208E"/>
    <w:rsid w:val="00893974"/>
    <w:rsid w:val="008B439D"/>
    <w:rsid w:val="008D09B7"/>
    <w:rsid w:val="008F271A"/>
    <w:rsid w:val="00921C01"/>
    <w:rsid w:val="00922CF0"/>
    <w:rsid w:val="00953BB7"/>
    <w:rsid w:val="00960F40"/>
    <w:rsid w:val="00992F86"/>
    <w:rsid w:val="009A0001"/>
    <w:rsid w:val="009B4CAD"/>
    <w:rsid w:val="009E216B"/>
    <w:rsid w:val="009F3610"/>
    <w:rsid w:val="00A0382C"/>
    <w:rsid w:val="00A24B6E"/>
    <w:rsid w:val="00A46FE1"/>
    <w:rsid w:val="00A84D67"/>
    <w:rsid w:val="00AC6BD4"/>
    <w:rsid w:val="00AC783B"/>
    <w:rsid w:val="00AD0C46"/>
    <w:rsid w:val="00AD1369"/>
    <w:rsid w:val="00AD16A5"/>
    <w:rsid w:val="00AD1E6F"/>
    <w:rsid w:val="00AE4F8F"/>
    <w:rsid w:val="00AF4F70"/>
    <w:rsid w:val="00B066DE"/>
    <w:rsid w:val="00B434C0"/>
    <w:rsid w:val="00B43FB4"/>
    <w:rsid w:val="00B61527"/>
    <w:rsid w:val="00B64A7D"/>
    <w:rsid w:val="00B70012"/>
    <w:rsid w:val="00B93268"/>
    <w:rsid w:val="00BA7445"/>
    <w:rsid w:val="00BB2325"/>
    <w:rsid w:val="00BD0E2C"/>
    <w:rsid w:val="00BD5733"/>
    <w:rsid w:val="00BF2F8D"/>
    <w:rsid w:val="00BF385F"/>
    <w:rsid w:val="00BF457C"/>
    <w:rsid w:val="00BF7F67"/>
    <w:rsid w:val="00C60858"/>
    <w:rsid w:val="00CF66E1"/>
    <w:rsid w:val="00D05A1E"/>
    <w:rsid w:val="00D25F8E"/>
    <w:rsid w:val="00D33893"/>
    <w:rsid w:val="00D41251"/>
    <w:rsid w:val="00D41551"/>
    <w:rsid w:val="00D52030"/>
    <w:rsid w:val="00D81D14"/>
    <w:rsid w:val="00D82E4B"/>
    <w:rsid w:val="00DA08D7"/>
    <w:rsid w:val="00DB7DE8"/>
    <w:rsid w:val="00DD18BE"/>
    <w:rsid w:val="00DF3CCA"/>
    <w:rsid w:val="00DF6D48"/>
    <w:rsid w:val="00E10416"/>
    <w:rsid w:val="00E17631"/>
    <w:rsid w:val="00E311DA"/>
    <w:rsid w:val="00E46CD0"/>
    <w:rsid w:val="00E622BF"/>
    <w:rsid w:val="00E975D9"/>
    <w:rsid w:val="00ED1C53"/>
    <w:rsid w:val="00ED737A"/>
    <w:rsid w:val="00F0166F"/>
    <w:rsid w:val="00F06163"/>
    <w:rsid w:val="00F278D5"/>
    <w:rsid w:val="00F45808"/>
    <w:rsid w:val="00F516BD"/>
    <w:rsid w:val="00FA70A5"/>
    <w:rsid w:val="00FD65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A108"/>
  <w15:docId w15:val="{A75864C1-AD35-4ED2-BF3D-1D79DA5D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12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129"/>
    <w:pPr>
      <w:ind w:left="720"/>
      <w:contextualSpacing/>
    </w:pPr>
  </w:style>
  <w:style w:type="paragraph" w:styleId="Header">
    <w:name w:val="header"/>
    <w:basedOn w:val="Normal"/>
    <w:link w:val="HeaderChar"/>
    <w:uiPriority w:val="99"/>
    <w:semiHidden/>
    <w:unhideWhenUsed/>
    <w:rsid w:val="00415129"/>
    <w:pPr>
      <w:tabs>
        <w:tab w:val="center" w:pos="4536"/>
        <w:tab w:val="right" w:pos="9072"/>
      </w:tabs>
    </w:pPr>
  </w:style>
  <w:style w:type="character" w:customStyle="1" w:styleId="HeaderChar">
    <w:name w:val="Header Char"/>
    <w:basedOn w:val="DefaultParagraphFont"/>
    <w:link w:val="Header"/>
    <w:uiPriority w:val="99"/>
    <w:semiHidden/>
    <w:rsid w:val="00415129"/>
    <w:rPr>
      <w:lang w:val="en-GB"/>
    </w:rPr>
  </w:style>
  <w:style w:type="paragraph" w:styleId="BalloonText">
    <w:name w:val="Balloon Text"/>
    <w:basedOn w:val="Normal"/>
    <w:link w:val="BalloonTextChar"/>
    <w:uiPriority w:val="99"/>
    <w:semiHidden/>
    <w:unhideWhenUsed/>
    <w:rsid w:val="00415129"/>
    <w:rPr>
      <w:rFonts w:ascii="Tahoma" w:hAnsi="Tahoma" w:cs="Tahoma"/>
      <w:sz w:val="16"/>
      <w:szCs w:val="16"/>
    </w:rPr>
  </w:style>
  <w:style w:type="character" w:customStyle="1" w:styleId="BalloonTextChar">
    <w:name w:val="Balloon Text Char"/>
    <w:basedOn w:val="DefaultParagraphFont"/>
    <w:link w:val="BalloonText"/>
    <w:uiPriority w:val="99"/>
    <w:semiHidden/>
    <w:rsid w:val="0041512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Hedman Partners</dc:creator>
  <cp:keywords/>
  <dc:description/>
  <cp:lastModifiedBy>Hedman Partners</cp:lastModifiedBy>
  <cp:revision>4</cp:revision>
  <dcterms:created xsi:type="dcterms:W3CDTF">2016-08-23T16:00:00Z</dcterms:created>
  <dcterms:modified xsi:type="dcterms:W3CDTF">2023-08-04T08:36:00Z</dcterms:modified>
</cp:coreProperties>
</file>